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39" w:rsidRDefault="002B05F7">
      <w:pPr>
        <w:pStyle w:val="Heading10"/>
        <w:keepNext/>
        <w:keepLines/>
        <w:shd w:val="clear" w:color="auto" w:fill="auto"/>
        <w:ind w:left="20"/>
      </w:pPr>
      <w:bookmarkStart w:id="0" w:name="bookmark0"/>
      <w:r>
        <w:t>ИНСТРУКЦИЯ № Д-</w:t>
      </w:r>
      <w:r w:rsidR="001A5383">
        <w:t>2004 от 20.04</w:t>
      </w:r>
      <w:r>
        <w:t>.20</w:t>
      </w:r>
      <w:bookmarkEnd w:id="0"/>
      <w:r w:rsidR="001A5383">
        <w:t>20</w:t>
      </w:r>
    </w:p>
    <w:p w:rsidR="00C77139" w:rsidRDefault="002B05F7">
      <w:pPr>
        <w:pStyle w:val="Bodytext30"/>
        <w:shd w:val="clear" w:color="auto" w:fill="auto"/>
        <w:ind w:left="1280"/>
      </w:pPr>
      <w:r>
        <w:t xml:space="preserve">по применению </w:t>
      </w:r>
      <w:r w:rsidR="001A5383">
        <w:t xml:space="preserve">антисептического </w:t>
      </w:r>
      <w:r>
        <w:t xml:space="preserve">дезинфицирующего средства </w:t>
      </w:r>
    </w:p>
    <w:p w:rsidR="00C77139" w:rsidRDefault="002B05F7">
      <w:pPr>
        <w:pStyle w:val="Bodytext30"/>
        <w:shd w:val="clear" w:color="auto" w:fill="auto"/>
        <w:ind w:left="2780"/>
      </w:pPr>
      <w:r>
        <w:t>(ООО «</w:t>
      </w:r>
      <w:r w:rsidR="001A5383">
        <w:t>Стройинвест</w:t>
      </w:r>
      <w:r>
        <w:t>», Россия)</w:t>
      </w:r>
    </w:p>
    <w:p w:rsidR="001A5383" w:rsidRDefault="001A5383">
      <w:pPr>
        <w:pStyle w:val="Bodytext30"/>
        <w:shd w:val="clear" w:color="auto" w:fill="auto"/>
        <w:ind w:left="2780"/>
      </w:pPr>
    </w:p>
    <w:p w:rsidR="00C77139" w:rsidRDefault="002B05F7">
      <w:pPr>
        <w:pStyle w:val="Heading10"/>
        <w:keepNext/>
        <w:keepLines/>
        <w:shd w:val="clear" w:color="auto" w:fill="auto"/>
        <w:spacing w:after="46" w:line="190" w:lineRule="exact"/>
        <w:ind w:left="2900"/>
        <w:jc w:val="left"/>
      </w:pPr>
      <w:bookmarkStart w:id="1" w:name="bookmark1"/>
      <w:r>
        <w:t>1. ОБЩИЕ СВЕДЕНИЯ.</w:t>
      </w:r>
      <w:bookmarkEnd w:id="1"/>
    </w:p>
    <w:p w:rsidR="00C77139" w:rsidRDefault="002B05F7">
      <w:pPr>
        <w:pStyle w:val="Bodytext20"/>
        <w:numPr>
          <w:ilvl w:val="0"/>
          <w:numId w:val="1"/>
        </w:numPr>
        <w:shd w:val="clear" w:color="auto" w:fill="auto"/>
        <w:tabs>
          <w:tab w:val="left" w:pos="798"/>
        </w:tabs>
        <w:spacing w:before="0"/>
        <w:ind w:firstLine="480"/>
      </w:pPr>
      <w:r>
        <w:t>Сред</w:t>
      </w:r>
      <w:r>
        <w:t xml:space="preserve">ство </w:t>
      </w:r>
      <w:r w:rsidR="001A5383">
        <w:t xml:space="preserve">антисептическое </w:t>
      </w:r>
      <w:r>
        <w:t xml:space="preserve"> «</w:t>
      </w:r>
      <w:r>
        <w:t>Антисептик» (далее по тексту - средство «</w:t>
      </w:r>
      <w:r>
        <w:t>Антисептик») выпускается в виде готовых к применению: жидкости; влажных пропитанных салфеток; геля. В качестве действующих веществ средство «</w:t>
      </w:r>
      <w:r>
        <w:t>Антисептик» содержит спирт изопр</w:t>
      </w:r>
      <w:r w:rsidR="001A5383">
        <w:t>опиловый — 65,0%, глицерин, перекись водород</w:t>
      </w:r>
      <w:r>
        <w:t>а</w:t>
      </w:r>
      <w:r w:rsidR="001A5383">
        <w:t>,</w:t>
      </w:r>
      <w:r>
        <w:t xml:space="preserve"> также функциональные добавки, увлажняющие и ухаживающие за кожей компоненты</w:t>
      </w:r>
      <w:r>
        <w:t>.</w:t>
      </w:r>
    </w:p>
    <w:p w:rsidR="00C77139" w:rsidRDefault="002B05F7">
      <w:pPr>
        <w:pStyle w:val="Bodytext20"/>
        <w:shd w:val="clear" w:color="auto" w:fill="auto"/>
        <w:spacing w:before="0"/>
        <w:ind w:firstLine="480"/>
      </w:pPr>
      <w:r>
        <w:t>Средство «</w:t>
      </w:r>
      <w:r>
        <w:t xml:space="preserve">Антисептик» в виде готовой к применению жидкости, </w:t>
      </w:r>
      <w:r>
        <w:t>соб</w:t>
      </w:r>
      <w:r>
        <w:t>ой прозрачную бесцветную жидкость с характерным запахом спирта и применяемой отдушки или без нее, допускается слабая опалесценция.</w:t>
      </w:r>
    </w:p>
    <w:p w:rsidR="00C77139" w:rsidRDefault="002B05F7">
      <w:pPr>
        <w:pStyle w:val="Bodytext20"/>
        <w:shd w:val="clear" w:color="auto" w:fill="auto"/>
        <w:spacing w:before="0"/>
        <w:ind w:firstLine="480"/>
      </w:pPr>
      <w:r>
        <w:t>Средство «</w:t>
      </w:r>
      <w:r w:rsidR="001A5383">
        <w:t>Антисептик» в виде готовой</w:t>
      </w:r>
      <w:r>
        <w:t xml:space="preserve"> к применению </w:t>
      </w:r>
      <w:r w:rsidR="001A5383">
        <w:t>жидкости</w:t>
      </w:r>
      <w:r>
        <w:t xml:space="preserve"> представляет </w:t>
      </w:r>
      <w:r w:rsidR="001A5383">
        <w:t>собой бесцветную прозрачную</w:t>
      </w:r>
      <w:r>
        <w:t xml:space="preserve"> </w:t>
      </w:r>
      <w:r w:rsidR="001A5383">
        <w:t xml:space="preserve">жидкость, </w:t>
      </w:r>
      <w:r>
        <w:t>с характерным зап</w:t>
      </w:r>
      <w:r>
        <w:t>ахом спирта и применяемой отдушки или без нее.</w:t>
      </w:r>
    </w:p>
    <w:p w:rsidR="00C77139" w:rsidRDefault="002B05F7">
      <w:pPr>
        <w:pStyle w:val="Bodytext20"/>
        <w:shd w:val="clear" w:color="auto" w:fill="auto"/>
        <w:spacing w:before="0"/>
        <w:ind w:firstLine="480"/>
        <w:jc w:val="left"/>
      </w:pPr>
      <w:r>
        <w:t>Срок годности средства «</w:t>
      </w:r>
      <w:r>
        <w:t>Антисептик» в виде жидкости и геля — 6 лет со дня изготовления в невскрытой упаковке изготовителя</w:t>
      </w:r>
    </w:p>
    <w:p w:rsidR="00C77139" w:rsidRDefault="002B05F7">
      <w:pPr>
        <w:pStyle w:val="Bodytext20"/>
        <w:shd w:val="clear" w:color="auto" w:fill="auto"/>
        <w:spacing w:before="0"/>
        <w:ind w:firstLine="480"/>
      </w:pPr>
      <w:r>
        <w:t>Средство «</w:t>
      </w:r>
      <w:r>
        <w:t>Антисептик» в виде готовой к применению жидкости может использоваться так же в качестве пропиточного раствора для салфеток, по</w:t>
      </w:r>
      <w:r w:rsidR="001A5383">
        <w:t>мещенных в диспенсерную систему.</w:t>
      </w:r>
    </w:p>
    <w:p w:rsidR="00C77139" w:rsidRDefault="002B05F7">
      <w:pPr>
        <w:pStyle w:val="Bodytext20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firstLine="480"/>
      </w:pPr>
      <w:r>
        <w:t>Средство обладает антимикробной активностью в отношении грамположите</w:t>
      </w:r>
      <w:r>
        <w:t>льных и грамотрицательных бактерий (в том числе микобактерий туберкулеза — тестировано на микобактерии терра), вирусов (включая рино-, норо-, рото-, адено-вирусы: вирусы энтеральных и парентеральных гепатитов, полиомиелита, ВИЧ, вирусов гриппа и парагриппа</w:t>
      </w:r>
      <w:r>
        <w:t xml:space="preserve"> человека, вирусов «свиного» гриппа </w:t>
      </w:r>
      <w:r>
        <w:rPr>
          <w:lang w:val="en-US" w:eastAsia="en-US" w:bidi="en-US"/>
        </w:rPr>
        <w:t>H</w:t>
      </w:r>
      <w:r w:rsidRPr="00D51A00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D51A00">
        <w:rPr>
          <w:lang w:eastAsia="en-US" w:bidi="en-US"/>
        </w:rPr>
        <w:t xml:space="preserve">1 </w:t>
      </w:r>
      <w:r>
        <w:t xml:space="preserve">и «птичьего» гриппа </w:t>
      </w:r>
      <w:r>
        <w:rPr>
          <w:lang w:val="en-US" w:eastAsia="en-US" w:bidi="en-US"/>
        </w:rPr>
        <w:t>H</w:t>
      </w:r>
      <w:r w:rsidRPr="00D51A00">
        <w:rPr>
          <w:lang w:eastAsia="en-US" w:bidi="en-US"/>
        </w:rPr>
        <w:t>5</w:t>
      </w:r>
      <w:r>
        <w:rPr>
          <w:lang w:val="en-US" w:eastAsia="en-US" w:bidi="en-US"/>
        </w:rPr>
        <w:t>N</w:t>
      </w:r>
      <w:r w:rsidRPr="00D51A00">
        <w:rPr>
          <w:lang w:eastAsia="en-US" w:bidi="en-US"/>
        </w:rPr>
        <w:t xml:space="preserve">1, </w:t>
      </w:r>
      <w:r>
        <w:t xml:space="preserve">вирусов «атипичной пневмонии» </w:t>
      </w:r>
      <w:r w:rsidRPr="00D51A00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D51A00">
        <w:rPr>
          <w:lang w:eastAsia="en-US" w:bidi="en-US"/>
        </w:rPr>
        <w:t xml:space="preserve">), </w:t>
      </w:r>
      <w:r>
        <w:t>вирусов герпеса), грибов рода Кандида и Трихофитон.</w:t>
      </w:r>
    </w:p>
    <w:p w:rsidR="00C77139" w:rsidRDefault="002B05F7">
      <w:pPr>
        <w:pStyle w:val="Bodytext20"/>
        <w:shd w:val="clear" w:color="auto" w:fill="auto"/>
        <w:spacing w:before="0"/>
        <w:ind w:firstLine="480"/>
      </w:pPr>
      <w:r>
        <w:t>Средство в виде жидкости и геля обладает пролонгированным антимикробным действием при обработке рук</w:t>
      </w:r>
      <w:r>
        <w:t xml:space="preserve"> хирургов в течение 3 часов.</w:t>
      </w:r>
    </w:p>
    <w:p w:rsidR="00C77139" w:rsidRDefault="002B05F7">
      <w:pPr>
        <w:pStyle w:val="Bodytext20"/>
        <w:numPr>
          <w:ilvl w:val="0"/>
          <w:numId w:val="1"/>
        </w:numPr>
        <w:shd w:val="clear" w:color="auto" w:fill="auto"/>
        <w:tabs>
          <w:tab w:val="left" w:pos="817"/>
        </w:tabs>
        <w:spacing w:before="0"/>
        <w:ind w:firstLine="480"/>
        <w:jc w:val="left"/>
      </w:pPr>
      <w:r>
        <w:t>По параметрам острой токсичности средство «</w:t>
      </w:r>
      <w:r>
        <w:t>Антисептик» при введении в желудок и при нанесении на кожу в соответствии с классификацией ГОСТ 12.1.007-76 относится к 4 классу малоопасных веществ. Местнораздражающее, кожно-ре</w:t>
      </w:r>
      <w:r>
        <w:t>зорбтивные и сенсибилизирующие свойства в рекомендованных режимах применения у средства не выражены. Средство обладает умеренно выраженным раздражающим действием на оболочки глаза. При ингаляционном воздействии паров средства в насыщающих концентрациях отн</w:t>
      </w:r>
      <w:r>
        <w:t>осится ко 2 классу высокоопасных веществ по степени летучести. Согласно классификации степени ингаляционной опасности дезинфицирующих средств по зоне острого биоцидного действия в режиме применения (протирание небольших по площади поверхностей) средство от</w:t>
      </w:r>
      <w:r>
        <w:t>носится к 4 классу мало опасных веществ.</w:t>
      </w:r>
    </w:p>
    <w:p w:rsidR="00C77139" w:rsidRDefault="002B05F7">
      <w:pPr>
        <w:pStyle w:val="Bodytext20"/>
        <w:shd w:val="clear" w:color="auto" w:fill="auto"/>
        <w:spacing w:before="0"/>
        <w:jc w:val="left"/>
      </w:pPr>
      <w:r>
        <w:t>В виде смеси паров и аэрозоля (орошение небольших по площади поверхностей) по острому действию — к 4 классу малоопасных средств, а по подострому действию — к опасным соединениям.</w:t>
      </w:r>
    </w:p>
    <w:p w:rsidR="00C77139" w:rsidRDefault="002B05F7">
      <w:pPr>
        <w:pStyle w:val="Bodytext20"/>
        <w:shd w:val="clear" w:color="auto" w:fill="auto"/>
        <w:spacing w:before="0"/>
        <w:ind w:firstLine="480"/>
      </w:pPr>
      <w:r>
        <w:lastRenderedPageBreak/>
        <w:t>ПДК в воздухе рабочей зоны: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73"/>
        </w:tabs>
        <w:spacing w:before="0"/>
        <w:ind w:firstLine="480"/>
      </w:pPr>
      <w:r>
        <w:t>изопропи</w:t>
      </w:r>
      <w:r>
        <w:t>лового спирта — 10 мг/м</w:t>
      </w:r>
      <w:r>
        <w:rPr>
          <w:vertAlign w:val="superscript"/>
        </w:rPr>
        <w:t>3</w:t>
      </w:r>
      <w:r>
        <w:t>, (пары, 3 класс опасности).</w:t>
      </w:r>
    </w:p>
    <w:p w:rsidR="00C77139" w:rsidRDefault="002B05F7">
      <w:pPr>
        <w:pStyle w:val="Bodytext20"/>
        <w:numPr>
          <w:ilvl w:val="0"/>
          <w:numId w:val="1"/>
        </w:numPr>
        <w:shd w:val="clear" w:color="auto" w:fill="auto"/>
        <w:tabs>
          <w:tab w:val="left" w:pos="826"/>
        </w:tabs>
        <w:spacing w:before="0"/>
        <w:ind w:firstLine="480"/>
      </w:pPr>
      <w:r>
        <w:t>Средство «</w:t>
      </w:r>
      <w:r>
        <w:t>Антисептик» предназначено для:</w:t>
      </w:r>
    </w:p>
    <w:p w:rsidR="00C77139" w:rsidRDefault="002B05F7">
      <w:pPr>
        <w:pStyle w:val="Bodytext20"/>
        <w:numPr>
          <w:ilvl w:val="0"/>
          <w:numId w:val="3"/>
        </w:numPr>
        <w:shd w:val="clear" w:color="auto" w:fill="auto"/>
        <w:tabs>
          <w:tab w:val="left" w:pos="975"/>
        </w:tabs>
        <w:spacing w:before="0"/>
        <w:ind w:firstLine="480"/>
      </w:pPr>
      <w:r>
        <w:t>Средство «</w:t>
      </w:r>
      <w:r>
        <w:t>Антисептик» в виде жидкости предназначено для: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61"/>
        </w:tabs>
        <w:spacing w:before="0"/>
        <w:ind w:firstLine="480"/>
      </w:pPr>
      <w:r>
        <w:t>гигиенической обработки рук</w:t>
      </w:r>
      <w:r>
        <w:t xml:space="preserve"> медицинского персонала в лечебнопрофилактических учреждениях (больницы, поликлиники, санатории, профилактории, реабилитационные центры, медицинские многопрофильные центры, медсанчасти и медпункты, фельдшерские и фельдшерско-акушерские пункты, родовспомога</w:t>
      </w:r>
      <w:r>
        <w:t>тельные учреждения, отделения новорожденных, неонатальные центры и отделения, детские стационары, диспансеры, госпитали, стоматологические клиники и отделения, эндоскопические и колоноскопические отделения, кабинеты диагностики, офтальмологические, приемны</w:t>
      </w:r>
      <w:r>
        <w:t>е, смотровые кабинеты, перевязочные, кабинеты амбулаторного приема, отделения</w:t>
      </w:r>
    </w:p>
    <w:p w:rsidR="00C77139" w:rsidRDefault="002B05F7">
      <w:pPr>
        <w:pStyle w:val="Bodytext20"/>
        <w:shd w:val="clear" w:color="auto" w:fill="auto"/>
        <w:tabs>
          <w:tab w:val="left" w:pos="3552"/>
        </w:tabs>
        <w:spacing w:before="0"/>
      </w:pPr>
      <w:r>
        <w:t>интенсивной терапии и реанимации, травматологии, ожоговые центры, центры по трансплантации органов, станции переливания крови, противотуберкулезные (или фтизиатрические) учрежден</w:t>
      </w:r>
      <w:r>
        <w:t>ия,</w:t>
      </w:r>
      <w:r>
        <w:tab/>
        <w:t>кожно-венерологические диспансеры,</w:t>
      </w:r>
    </w:p>
    <w:p w:rsidR="00C77139" w:rsidRDefault="002B05F7">
      <w:pPr>
        <w:pStyle w:val="Bodytext20"/>
        <w:shd w:val="clear" w:color="auto" w:fill="auto"/>
        <w:spacing w:before="0"/>
      </w:pPr>
      <w:r>
        <w:t>микологические и др.); персонала на санитарном транспорте всех видов, в том числе машинах скорой помощи, в зонах чрезвычайных ситуаций и стихийных бедствий; в инфекционных очагах, в хосписах, в учреждениях дезинфекцио</w:t>
      </w:r>
      <w:r>
        <w:t>нного профиля, включая санпропускники;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78"/>
        </w:tabs>
        <w:spacing w:before="0"/>
        <w:ind w:firstLine="480"/>
      </w:pPr>
      <w:r>
        <w:t>гигиенической обработки рук: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39"/>
        </w:tabs>
        <w:spacing w:before="0"/>
        <w:ind w:firstLine="480"/>
      </w:pPr>
      <w:r>
        <w:t>работников бактериологических, вирусологических, микологических, иммунологических, клинических, диагностических и других лабораторий; работников аптечных учреждений;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30"/>
        </w:tabs>
        <w:spacing w:before="0"/>
        <w:ind w:firstLine="480"/>
      </w:pPr>
      <w:r>
        <w:t>работников парфюмерно-</w:t>
      </w:r>
      <w:r>
        <w:t>косметической, химико-фармацевтической, биотехнологической и микробиологической промышленности, предприятий пищевой промышленности;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34"/>
        </w:tabs>
        <w:spacing w:before="0"/>
        <w:ind w:firstLine="480"/>
      </w:pPr>
      <w:r>
        <w:t xml:space="preserve">персонала учреждений и ведомств МЧС и МВД, личного состава войск и формирований ГО, объектов водоканала, энергосети, </w:t>
      </w:r>
      <w:r>
        <w:t>сотрудников военных ведомств, сотрудников пенитенциарных учреждений;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34"/>
        </w:tabs>
        <w:spacing w:before="0"/>
        <w:ind w:firstLine="480"/>
      </w:pPr>
      <w:r>
        <w:t>работников предприятий коммунально-бытового обслуживания (включая гостиницы, отели, общежития, общественные туалеты, и др.), работников сферы услуг (салоны красоты, парикмахерские и косме</w:t>
      </w:r>
      <w:r>
        <w:t>тические салоны, солярии, маникюрно-педикюрные кабинеты, фитнес-центры, бассейны, бани, сауны и др. оздоровительно-досуговые комплексы), торгово-развлекательных центров и др.;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30"/>
        </w:tabs>
        <w:spacing w:before="0"/>
        <w:ind w:firstLine="480"/>
      </w:pPr>
      <w:r>
        <w:t>персонала детских дошкольных и школьных учреждений, учреждений соцобеспечения (д</w:t>
      </w:r>
      <w:r>
        <w:t>ома престарелых, инвалидов, хосписы и т.п.), учреждений образования, культуры, отдыха, спорта, объектов курортологии, офисов;</w:t>
      </w:r>
    </w:p>
    <w:p w:rsidR="00C77139" w:rsidRDefault="002B05F7">
      <w:pPr>
        <w:pStyle w:val="Bodytext20"/>
        <w:shd w:val="clear" w:color="auto" w:fill="auto"/>
        <w:spacing w:before="0"/>
        <w:ind w:firstLine="1020"/>
      </w:pPr>
      <w:r>
        <w:t>- работников предприятий общественного питания, предприятий розничной торговли, продовольственных и промышленных рынков (в т. ч. к</w:t>
      </w:r>
      <w:r>
        <w:t>ассиров и других лиц, работающих с денежными купюрами) и др.;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30"/>
        </w:tabs>
        <w:spacing w:before="0"/>
        <w:ind w:firstLine="480"/>
      </w:pPr>
      <w:r>
        <w:t xml:space="preserve">обработки рук хирургов, операционных медицинских сестер, акушерок и других лиц, участвующих в проведении операций, приеме родов, катетеризации магистральных </w:t>
      </w:r>
      <w:r>
        <w:lastRenderedPageBreak/>
        <w:t>сосудов;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73"/>
        </w:tabs>
        <w:spacing w:before="0"/>
        <w:ind w:firstLine="480"/>
      </w:pPr>
      <w:r>
        <w:t>обеззараживания кожи инъекци</w:t>
      </w:r>
      <w:r>
        <w:t>онного поля взрослых пациентов, в том</w:t>
      </w:r>
    </w:p>
    <w:p w:rsidR="00C77139" w:rsidRDefault="002B05F7">
      <w:pPr>
        <w:pStyle w:val="Bodytext20"/>
        <w:shd w:val="clear" w:color="auto" w:fill="auto"/>
        <w:spacing w:before="0"/>
      </w:pPr>
      <w:r>
        <w:t>числе при проведении прививок,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30"/>
        </w:tabs>
        <w:spacing w:before="0"/>
        <w:ind w:firstLine="480"/>
      </w:pPr>
      <w:r>
        <w:t>обработки локтевых сгибов доноров в ЛПУ, на станциях переливания крови;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34"/>
        </w:tabs>
        <w:spacing w:before="0"/>
        <w:ind w:firstLine="480"/>
      </w:pPr>
      <w:r>
        <w:t>обработки кожи операционного поля взрослых пациентов, кожи перед введением катетеров и пункцией суставов (в том чис</w:t>
      </w:r>
      <w:r>
        <w:t xml:space="preserve">ле лечебных и диагностических пункций, катетеризаций периферических и центральных сосудов, спиномозговых функций, катетеризаций эпидурального пространства, пункций суставов). Для обозначения границ операционного и инъекционного поля средство применяется с </w:t>
      </w:r>
      <w:r>
        <w:t>добавлением к нему маркера - добавки, дополнительно поставляемой в отдельных ампулах или мини-флаконах и окрашивающей антисептик в интенсивный (оранжевый, розовый или зелёный) цвет;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53"/>
        </w:tabs>
        <w:spacing w:before="0"/>
        <w:ind w:firstLine="460"/>
      </w:pPr>
      <w:r>
        <w:t>профилактической обработки ступней ног;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25"/>
        </w:tabs>
        <w:spacing w:before="0"/>
        <w:ind w:firstLine="460"/>
      </w:pPr>
      <w:r>
        <w:t>дезинфекции и очистки небольших по</w:t>
      </w:r>
      <w:r>
        <w:t xml:space="preserve"> площади твердых поверхностей в помещениях, в том числе загрязненных биологическими выделениями (кроме портящихся от воздействия спиртов):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30"/>
        </w:tabs>
        <w:spacing w:before="0"/>
        <w:ind w:firstLine="460"/>
      </w:pPr>
      <w:r>
        <w:t xml:space="preserve">предметов обстановки (в т.ч. жалюзей, бактерицидных ламп), столов (в т. ч. операционные, манипуляционные, </w:t>
      </w:r>
      <w:r>
        <w:t>пеленальные, родильные), гинекологических и стоматологических кресел, кроватей, реанимационных матрацев и другой жёсткой мебели;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25"/>
        </w:tabs>
        <w:spacing w:before="0"/>
        <w:ind w:firstLine="460"/>
      </w:pPr>
      <w:r>
        <w:t>санитарно-технического оборудования (ручки кранов и сливных бачков, сидения унитазов в туалетных комнатах, туалетных полочек, т</w:t>
      </w:r>
      <w:r>
        <w:t>умбочек и др.);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30"/>
        </w:tabs>
        <w:spacing w:before="0"/>
        <w:ind w:firstLine="460"/>
      </w:pPr>
      <w:r>
        <w:t>наружных поверхностей телефонных аппаратов, мониторов, компьютерной клавиатуры и другой офисной техники, счетчиков банкнот, детекторов валют, архивных шкафов и стеллажей, рукояток, поручней, соляриев и ламп для соляриев;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53"/>
        </w:tabs>
        <w:spacing w:before="0"/>
        <w:ind w:firstLine="460"/>
      </w:pPr>
      <w:r>
        <w:t>наружных поверхност</w:t>
      </w:r>
      <w:r>
        <w:t>ей кондиционеров, сплит-систем;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34"/>
        </w:tabs>
        <w:spacing w:before="0"/>
        <w:ind w:firstLine="460"/>
      </w:pPr>
      <w:r>
        <w:t>наружных поверхностей медицинских приборов и аппаратов, физиотерапевтического оборудования, диагностического оборудования, не предназначенного для инвазивного вмешательства и не контактирующих непосредственно со слизистой па</w:t>
      </w:r>
      <w:r>
        <w:t>циентов (датчики аппаратов УЗИ, маммографы, аппараты искусственного дыхания и оборудования для анестезии и гемодиализа, кардиоэлектроды — клеммы, насадки, клипсы и др.); фонендоскопов и стетоскопов;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30"/>
        </w:tabs>
        <w:spacing w:before="0"/>
        <w:ind w:firstLine="460"/>
      </w:pPr>
      <w:r>
        <w:t>наружных поверхностей и оборудования санитарного транспор</w:t>
      </w:r>
      <w:r>
        <w:t>та после транспортировки инфекционного больного, транспорта служб ГО и ЧС;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30"/>
        </w:tabs>
        <w:spacing w:before="0"/>
        <w:ind w:firstLine="460"/>
      </w:pPr>
      <w:r>
        <w:t>дезинфекции предметов простой конфигурации, не имеющих недоступных полостей и каналов из непористых материалов: предметов ухода за больными (термометры, судна, подкладные клеенки, г</w:t>
      </w:r>
      <w:r>
        <w:t>релки и др.), игрушек, спортинвентаря;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53"/>
        </w:tabs>
        <w:spacing w:before="0"/>
        <w:ind w:firstLine="460"/>
      </w:pPr>
      <w:r>
        <w:t>дезинфекции резиновых, пластиковых и полипропиленовых ковриков;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58"/>
        </w:tabs>
        <w:spacing w:before="0"/>
        <w:ind w:firstLine="460"/>
      </w:pPr>
      <w:r>
        <w:t>дезинфекции внутренней поверхности обуви;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39"/>
        </w:tabs>
        <w:spacing w:before="0"/>
        <w:ind w:firstLine="460"/>
      </w:pPr>
      <w:r>
        <w:t>обеззараживания медицинских перчаток (из латекса, неопрена, ниприла и др. материалов), надетых на руки медицинс</w:t>
      </w:r>
      <w:r>
        <w:t xml:space="preserve">кого персонала при работе с потенциально инфицированным материалом (микробиологические лаборатории), при сборе медицинских отходов, при загрязнении перчаток выделениями или кровью во </w:t>
      </w:r>
      <w:r>
        <w:lastRenderedPageBreak/>
        <w:t>избежание загрязнения рук перед их снятием, дезинфекцией и последующей ут</w:t>
      </w:r>
      <w:r>
        <w:t>илизацией, а также работников предприятий, выпускающих стерильную продукцию, где требуется соблюдение асептических условий.</w:t>
      </w:r>
    </w:p>
    <w:p w:rsidR="00C77139" w:rsidRDefault="00582644">
      <w:pPr>
        <w:pStyle w:val="Bodytext20"/>
        <w:shd w:val="clear" w:color="auto" w:fill="auto"/>
        <w:spacing w:before="0" w:after="89"/>
        <w:ind w:firstLine="460"/>
      </w:pPr>
      <w:r>
        <w:t>1.4.2</w:t>
      </w:r>
      <w:r w:rsidR="002B05F7">
        <w:t xml:space="preserve"> Средство предназначено для использования взрослым населением в быту, в том числе на различных видах транспорта, в соответствии с этикеткой для быта.</w:t>
      </w:r>
    </w:p>
    <w:p w:rsidR="00C77139" w:rsidRDefault="002B05F7">
      <w:pPr>
        <w:pStyle w:val="Bodytext20"/>
        <w:shd w:val="clear" w:color="auto" w:fill="auto"/>
        <w:spacing w:before="0" w:line="190" w:lineRule="exact"/>
        <w:ind w:left="2540"/>
        <w:jc w:val="left"/>
      </w:pPr>
      <w:r>
        <w:t>2.ПРИМЕНЕНИЕ СРЕДС</w:t>
      </w:r>
      <w:r>
        <w:t>ТВА</w:t>
      </w:r>
    </w:p>
    <w:p w:rsidR="00C77139" w:rsidRDefault="002B05F7">
      <w:pPr>
        <w:pStyle w:val="Bodytext20"/>
        <w:numPr>
          <w:ilvl w:val="0"/>
          <w:numId w:val="4"/>
        </w:numPr>
        <w:shd w:val="clear" w:color="auto" w:fill="auto"/>
        <w:tabs>
          <w:tab w:val="left" w:pos="872"/>
        </w:tabs>
        <w:spacing w:before="0"/>
        <w:ind w:firstLine="460"/>
      </w:pPr>
      <w:r>
        <w:t>Применение средства «</w:t>
      </w:r>
      <w:r>
        <w:t>Антисептик» в виде жидкости.</w:t>
      </w:r>
    </w:p>
    <w:p w:rsidR="00C77139" w:rsidRDefault="002B05F7">
      <w:pPr>
        <w:pStyle w:val="Bodytext20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firstLine="460"/>
      </w:pPr>
      <w:r>
        <w:rPr>
          <w:rStyle w:val="Bodytext2Italic"/>
        </w:rPr>
        <w:t>Гигиеническая обработка рук:</w:t>
      </w:r>
      <w:r>
        <w:t xml:space="preserve"> на сухие руки (без предварительного мытья водой и мылом) наносят не менее 3 мл средства и втирают его в кожу до высыхания, но не менее 30 секунд, обращая особое вниман</w:t>
      </w:r>
      <w:r>
        <w:t>ие на тщательность обработки кончиков пальцев, кожи вокруг ногтей, между пальцами.</w:t>
      </w:r>
    </w:p>
    <w:p w:rsidR="00C77139" w:rsidRDefault="002B05F7">
      <w:pPr>
        <w:pStyle w:val="Bodytext20"/>
        <w:shd w:val="clear" w:color="auto" w:fill="auto"/>
        <w:spacing w:before="0"/>
        <w:ind w:firstLine="460"/>
      </w:pPr>
      <w:r>
        <w:t>Для профилактики туберкулеза и вирусных инфекций обработку рук проводят дважды, используя каждый раз не менее 3 мл средства, общее время обработки не менее 2 мин.</w:t>
      </w:r>
    </w:p>
    <w:p w:rsidR="00C77139" w:rsidRDefault="002B05F7">
      <w:pPr>
        <w:pStyle w:val="Bodytext20"/>
        <w:numPr>
          <w:ilvl w:val="0"/>
          <w:numId w:val="5"/>
        </w:numPr>
        <w:shd w:val="clear" w:color="auto" w:fill="auto"/>
        <w:tabs>
          <w:tab w:val="left" w:pos="1018"/>
        </w:tabs>
        <w:spacing w:before="0"/>
        <w:ind w:firstLine="460"/>
      </w:pPr>
      <w:r>
        <w:rPr>
          <w:rStyle w:val="Bodytext2Italic"/>
        </w:rPr>
        <w:t xml:space="preserve">Обработка </w:t>
      </w:r>
      <w:r>
        <w:rPr>
          <w:rStyle w:val="Bodytext2Italic"/>
        </w:rPr>
        <w:t xml:space="preserve">рук хирургов, операционных медицинских сестер, акушерок и других лиц, участвующих в проведении операций, приеме родов: </w:t>
      </w:r>
      <w:r>
        <w:t>перед применением средства кисти рук и предплечий предварительно тщательно моют теплой проточной водой и туалетным мылом (предпочтительно</w:t>
      </w:r>
      <w:r>
        <w:t xml:space="preserve"> жидким) в течение 2 минут, после чего их высушивают стерильной марлевой салфеткой. Затем на кисти рук наносят дважды по 5 мл средства, равномерно распределяя и втирая его в кожу обеих кистей рук и предплечий до полного впитывания средства. Общее время обр</w:t>
      </w:r>
      <w:r>
        <w:t>аботки — 5 минут.</w:t>
      </w:r>
    </w:p>
    <w:p w:rsidR="00C77139" w:rsidRDefault="002B05F7">
      <w:pPr>
        <w:pStyle w:val="Bodytext20"/>
        <w:shd w:val="clear" w:color="auto" w:fill="auto"/>
        <w:spacing w:before="0"/>
        <w:ind w:firstLine="460"/>
      </w:pPr>
      <w:r>
        <w:t>Примечание: стерильные перчатки надевают на сухие руки.</w:t>
      </w:r>
    </w:p>
    <w:p w:rsidR="00C77139" w:rsidRDefault="002B05F7">
      <w:pPr>
        <w:pStyle w:val="Bodytext20"/>
        <w:shd w:val="clear" w:color="auto" w:fill="auto"/>
        <w:spacing w:before="0"/>
        <w:ind w:firstLine="460"/>
      </w:pPr>
      <w:r>
        <w:t>Средство обладает пролонгированным действием не менее 3 часов.</w:t>
      </w:r>
    </w:p>
    <w:p w:rsidR="00C77139" w:rsidRDefault="002B05F7">
      <w:pPr>
        <w:pStyle w:val="Bodytext20"/>
        <w:numPr>
          <w:ilvl w:val="0"/>
          <w:numId w:val="5"/>
        </w:numPr>
        <w:shd w:val="clear" w:color="auto" w:fill="auto"/>
        <w:tabs>
          <w:tab w:val="left" w:pos="1018"/>
        </w:tabs>
        <w:spacing w:before="0"/>
        <w:ind w:firstLine="460"/>
      </w:pPr>
      <w:r>
        <w:rPr>
          <w:rStyle w:val="Bodytext2Italic"/>
        </w:rPr>
        <w:t>Обработка кожи операционного поля, локтевых сгибов доноров, кожи перед введением катетеров и пункцией суставов:</w:t>
      </w:r>
      <w:r>
        <w:t xml:space="preserve"> кожу двукратно протирают раздельными стерильными марлевыми тампонами, обильно смоченными средством; время выдержки после окончания обработки — 2 минуты; накануне операции больной принимает душ (ванну), меняет белье.</w:t>
      </w:r>
    </w:p>
    <w:p w:rsidR="00C77139" w:rsidRDefault="002B05F7">
      <w:pPr>
        <w:pStyle w:val="Bodytext20"/>
        <w:shd w:val="clear" w:color="auto" w:fill="auto"/>
        <w:spacing w:before="0"/>
        <w:ind w:firstLine="460"/>
      </w:pPr>
      <w:r>
        <w:t>Для обозначения границ операционного по</w:t>
      </w:r>
      <w:r>
        <w:t xml:space="preserve">ля средство применяется с добавлением к нему маркера — добавки (из расчета 2,5 мл маркера-добавки на 1л антисептика), дополнительно поставляемой в отдельных ампулах или мини-флаконах и окрашивающей антисептик в интенсивный (оранжевый, розовый или зелёный) </w:t>
      </w:r>
      <w:r>
        <w:t>цвет.</w:t>
      </w:r>
    </w:p>
    <w:p w:rsidR="00C77139" w:rsidRDefault="002B05F7">
      <w:pPr>
        <w:pStyle w:val="Bodytext50"/>
        <w:numPr>
          <w:ilvl w:val="0"/>
          <w:numId w:val="5"/>
        </w:numPr>
        <w:shd w:val="clear" w:color="auto" w:fill="auto"/>
        <w:tabs>
          <w:tab w:val="left" w:pos="984"/>
        </w:tabs>
      </w:pPr>
      <w:r>
        <w:t>Обработка инъекционного поля: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25"/>
        </w:tabs>
        <w:spacing w:before="0"/>
        <w:ind w:firstLine="460"/>
      </w:pPr>
      <w:r>
        <w:t>кожу протирают стерильным ватным тампоном, обильно смоченным средством. Время выдержки после окончания обработки — 20 секунд.</w:t>
      </w:r>
    </w:p>
    <w:p w:rsidR="00C77139" w:rsidRDefault="002B05F7">
      <w:pPr>
        <w:pStyle w:val="Bodytext20"/>
        <w:numPr>
          <w:ilvl w:val="0"/>
          <w:numId w:val="2"/>
        </w:numPr>
        <w:shd w:val="clear" w:color="auto" w:fill="auto"/>
        <w:tabs>
          <w:tab w:val="left" w:pos="634"/>
        </w:tabs>
        <w:spacing w:before="0"/>
        <w:ind w:firstLine="460"/>
      </w:pPr>
      <w:r>
        <w:t>обработку средством в виде жидкости проводят способом орошения кожи в месте инъекции с использ</w:t>
      </w:r>
      <w:r>
        <w:t>ованием распылительной насадки до полного увлажнения с последующим выдержкой 20 сек. Остатки средства втирают в кожу стерильным ватным тампоном.</w:t>
      </w:r>
    </w:p>
    <w:p w:rsidR="00C77139" w:rsidRDefault="002B05F7">
      <w:pPr>
        <w:pStyle w:val="Bodytext20"/>
        <w:numPr>
          <w:ilvl w:val="0"/>
          <w:numId w:val="5"/>
        </w:numPr>
        <w:shd w:val="clear" w:color="auto" w:fill="auto"/>
        <w:tabs>
          <w:tab w:val="left" w:pos="961"/>
        </w:tabs>
        <w:spacing w:before="0"/>
        <w:ind w:firstLine="460"/>
      </w:pPr>
      <w:r>
        <w:rPr>
          <w:rStyle w:val="Bodytext2Italic"/>
        </w:rPr>
        <w:t>Профилактическая обработка ступней ног</w:t>
      </w:r>
      <w:r>
        <w:t xml:space="preserve"> (после посещения бассейна, сауны, душевой и др.): салфеткой или ватным т</w:t>
      </w:r>
      <w:r>
        <w:t>ампоном, обильно смоченным средством (не менее 3 мл), тщательно протереть кожу каждой ступни ног разными тампонами, время обработки каждой ступни — не менее 1 мин.</w:t>
      </w:r>
    </w:p>
    <w:p w:rsidR="00C77139" w:rsidRDefault="002B05F7">
      <w:pPr>
        <w:pStyle w:val="Bodytext20"/>
        <w:shd w:val="clear" w:color="auto" w:fill="auto"/>
        <w:spacing w:before="0"/>
        <w:ind w:firstLine="460"/>
      </w:pPr>
      <w:r>
        <w:lastRenderedPageBreak/>
        <w:t xml:space="preserve">2.1.6. </w:t>
      </w:r>
      <w:r>
        <w:rPr>
          <w:rStyle w:val="Bodytext2Italic"/>
        </w:rPr>
        <w:t>Обработка перчаток, надетых на руки персонала</w:t>
      </w:r>
      <w:r>
        <w:t>: для обеззараживания поверхности перчат</w:t>
      </w:r>
      <w:r>
        <w:t>ок в сжатую ладонь руки в перчатке наносят 2,5 мл средства. Затем в течение 15 секунд протирают этой порцией средства поверхность перчаток обоих рук, совершая движения рук, которые выполняют при обработке кожи рук антисептиком. После этого такую же операци</w:t>
      </w:r>
      <w:r>
        <w:t>ю проводят, нанося 2,5 мл раствора на ладонь второй руки в перчатке. Общее время обработки 30 секунд. Время дезинфекционной выдержки — 5 мин.</w:t>
      </w:r>
    </w:p>
    <w:p w:rsidR="00C77139" w:rsidRDefault="002B05F7">
      <w:pPr>
        <w:pStyle w:val="Bodytext20"/>
        <w:shd w:val="clear" w:color="auto" w:fill="auto"/>
        <w:spacing w:before="0"/>
        <w:ind w:firstLine="460"/>
      </w:pPr>
      <w:r>
        <w:t>После обработки средством перчатки необходимо снять с рук и направить на утилизацию, а затем провести гигиеническу</w:t>
      </w:r>
      <w:r>
        <w:t>ю обработку рук средством «</w:t>
      </w:r>
      <w:r>
        <w:t>Антисептик».</w:t>
      </w:r>
    </w:p>
    <w:p w:rsidR="00C77139" w:rsidRPr="00F2318E" w:rsidRDefault="00F2318E" w:rsidP="00F2318E">
      <w:pPr>
        <w:pStyle w:val="Bodytext20"/>
        <w:shd w:val="clear" w:color="auto" w:fill="auto"/>
        <w:tabs>
          <w:tab w:val="left" w:pos="961"/>
        </w:tabs>
        <w:spacing w:before="0"/>
        <w:rPr>
          <w:i/>
          <w:iCs/>
        </w:rPr>
      </w:pPr>
      <w:r>
        <w:rPr>
          <w:rStyle w:val="Bodytext2Italic"/>
        </w:rPr>
        <w:t xml:space="preserve">        </w:t>
      </w:r>
      <w:r w:rsidRPr="00F2318E">
        <w:rPr>
          <w:rStyle w:val="Bodytext2Italic"/>
          <w:i w:val="0"/>
        </w:rPr>
        <w:t>2.1.7</w:t>
      </w:r>
      <w:r>
        <w:rPr>
          <w:rStyle w:val="Bodytext2Italic"/>
        </w:rPr>
        <w:t xml:space="preserve"> </w:t>
      </w:r>
      <w:r w:rsidR="002B05F7">
        <w:rPr>
          <w:rStyle w:val="Bodytext2Italic"/>
        </w:rPr>
        <w:t>Дезинфекция небольших по площади твердых поверхностей и предметов обстановки в помещениях, на санитарном транспорте, санитарно-технического оборудования, наружных поверхностей приборов, аппаратов, медицинского</w:t>
      </w:r>
      <w:r w:rsidR="002B05F7">
        <w:rPr>
          <w:rStyle w:val="Bodytext2Italic"/>
        </w:rPr>
        <w:t xml:space="preserve"> оборудования,</w:t>
      </w:r>
      <w:r w:rsidR="002B05F7">
        <w:t xml:space="preserve"> проводится способом протирания или орошения. Норма расхода средства при протирании — 100 мл/м</w:t>
      </w:r>
      <w:r w:rsidR="002B05F7">
        <w:rPr>
          <w:vertAlign w:val="superscript"/>
        </w:rPr>
        <w:t>2</w:t>
      </w:r>
      <w:r w:rsidR="002B05F7">
        <w:t>; при орошении — от 150 мл/м</w:t>
      </w:r>
      <w:r w:rsidR="002B05F7">
        <w:rPr>
          <w:vertAlign w:val="superscript"/>
        </w:rPr>
        <w:t>2</w:t>
      </w:r>
      <w:r w:rsidR="002B05F7">
        <w:t xml:space="preserve">. Обработка проводится однократно или двукратно. Поверхности, предметы обстановки, санитарно-техническое оборудование </w:t>
      </w:r>
      <w:r w:rsidR="002B05F7">
        <w:t>равномерно орошают средством до полного смачивания или протирают салфеткой, обильно смоченной средством по режимам таблицы 1. Поверхности, подлежащие дезинфекции, должны быть увлажнены средством полностью и равномерно по всей плоскости. Средство быстро выс</w:t>
      </w:r>
      <w:r w:rsidR="002B05F7">
        <w:t>ыхает, не оставляя следов на поверхности. Поверхности можно использовать после полного высыхания средства. В случае необходимости поверхности можно протереть салфеткой после окончания времени дезинфекционной выдержки, не дожидаясь высыхания.</w:t>
      </w:r>
    </w:p>
    <w:p w:rsidR="00C77139" w:rsidRDefault="002B05F7">
      <w:pPr>
        <w:pStyle w:val="Bodytext20"/>
        <w:shd w:val="clear" w:color="auto" w:fill="auto"/>
        <w:spacing w:before="0"/>
        <w:ind w:firstLine="460"/>
      </w:pPr>
      <w:r>
        <w:t xml:space="preserve">Средство не </w:t>
      </w:r>
      <w:r>
        <w:t>рекомендуется применять для обработки поверхностей, покрытых низкосортными или спирторастворимыми красками и лаками, из органического (акрилового) стекла и других материалов, не устойчивых к воздействию спирта. Перед применением рекомендуется проверить дей</w:t>
      </w:r>
      <w:r>
        <w:t>ствие средства на небольшом малозаметном участке поверхности.</w:t>
      </w:r>
    </w:p>
    <w:p w:rsidR="00C77139" w:rsidRDefault="002B05F7">
      <w:pPr>
        <w:pStyle w:val="Bodytext20"/>
        <w:shd w:val="clear" w:color="auto" w:fill="auto"/>
        <w:spacing w:before="0"/>
        <w:ind w:firstLine="460"/>
      </w:pPr>
      <w:r>
        <w:t>В парикмахерских, банях, саунах, бассейнах, спортивных комплексах, косметических салонах дезинфекцию объектов проводят по режимам, рекомендованным при дерматофитиях (таблица 1).</w:t>
      </w:r>
    </w:p>
    <w:p w:rsidR="00C77139" w:rsidRDefault="002B05F7">
      <w:pPr>
        <w:pStyle w:val="Bodytext20"/>
        <w:shd w:val="clear" w:color="auto" w:fill="auto"/>
        <w:spacing w:before="0"/>
        <w:ind w:firstLine="460"/>
      </w:pPr>
      <w:r>
        <w:t>Предметы ухода з</w:t>
      </w:r>
      <w:r>
        <w:t>а больными из непористых, гладких материалов (подкладные клеенки, грелки и т.п.) протирают салфеткой, обильно смоченной средством, по режимам, указанным в таблице 1.</w:t>
      </w:r>
    </w:p>
    <w:p w:rsidR="00C77139" w:rsidRDefault="002B05F7">
      <w:pPr>
        <w:pStyle w:val="Bodytext20"/>
        <w:shd w:val="clear" w:color="auto" w:fill="auto"/>
        <w:spacing w:before="0"/>
        <w:ind w:firstLine="460"/>
      </w:pPr>
      <w:r>
        <w:t>Профилактическую дезинфекцию поверхностей проводят по режимам, представленным в таблице 2.</w:t>
      </w:r>
    </w:p>
    <w:p w:rsidR="00C77139" w:rsidRDefault="002B05F7">
      <w:pPr>
        <w:pStyle w:val="Bodytext20"/>
        <w:shd w:val="clear" w:color="auto" w:fill="auto"/>
        <w:spacing w:before="0"/>
        <w:ind w:firstLine="460"/>
      </w:pPr>
      <w:r>
        <w:t xml:space="preserve">При наличии биологических загрязнений (органических и др.) на обрабатываемых поверхностях, необходимо одной салфеткой удалить загрязнение, а другой провести повторную обработку по режимам, представленным в таблице 1. Выбросить салфетку в емкость для </w:t>
      </w:r>
      <w:r>
        <w:t>медицинских отходов для дальнейшей утилизации.</w:t>
      </w:r>
    </w:p>
    <w:p w:rsidR="00C77139" w:rsidRPr="00F2318E" w:rsidRDefault="00F2318E" w:rsidP="00F2318E">
      <w:pPr>
        <w:pStyle w:val="Bodytext20"/>
        <w:shd w:val="clear" w:color="auto" w:fill="auto"/>
        <w:tabs>
          <w:tab w:val="left" w:pos="981"/>
        </w:tabs>
        <w:spacing w:before="0"/>
        <w:rPr>
          <w:i/>
          <w:iCs/>
        </w:rPr>
      </w:pPr>
      <w:r>
        <w:rPr>
          <w:rStyle w:val="Bodytext2Italic"/>
        </w:rPr>
        <w:t xml:space="preserve">         2.1.8 </w:t>
      </w:r>
      <w:r w:rsidR="002B05F7">
        <w:rPr>
          <w:rStyle w:val="Bodytext2Italic"/>
        </w:rPr>
        <w:t>Дезинфекция резиновых, пластиковых, полипропиленновых ковриков</w:t>
      </w:r>
      <w:r w:rsidR="002B05F7">
        <w:t>: коврики, имеющие ровную поверхность равномерно протирают ветошью, обильно смоченной средством, их до полного увлажнения, время дезинфекционной вы</w:t>
      </w:r>
      <w:r w:rsidR="002B05F7">
        <w:t xml:space="preserve">держки 5 мин. При обработке ковриков способом орошения время дезинфекционной выдержки - </w:t>
      </w:r>
      <w:r w:rsidR="002B05F7">
        <w:lastRenderedPageBreak/>
        <w:t>10 минут</w:t>
      </w:r>
    </w:p>
    <w:p w:rsidR="00C77139" w:rsidRPr="00F2318E" w:rsidRDefault="00F2318E" w:rsidP="00F2318E">
      <w:pPr>
        <w:pStyle w:val="Bodytext20"/>
        <w:shd w:val="clear" w:color="auto" w:fill="auto"/>
        <w:tabs>
          <w:tab w:val="left" w:pos="981"/>
        </w:tabs>
        <w:spacing w:before="0"/>
        <w:rPr>
          <w:i/>
          <w:iCs/>
        </w:rPr>
      </w:pPr>
      <w:r>
        <w:rPr>
          <w:rStyle w:val="Bodytext2Italic"/>
        </w:rPr>
        <w:t xml:space="preserve">         </w:t>
      </w:r>
      <w:r w:rsidRPr="00F2318E">
        <w:rPr>
          <w:rStyle w:val="Bodytext2Italic"/>
          <w:i w:val="0"/>
        </w:rPr>
        <w:t>2.1.9</w:t>
      </w:r>
      <w:r>
        <w:rPr>
          <w:rStyle w:val="Bodytext2Italic"/>
        </w:rPr>
        <w:t xml:space="preserve"> </w:t>
      </w:r>
      <w:r w:rsidR="002B05F7">
        <w:rPr>
          <w:rStyle w:val="Bodytext2Italic"/>
        </w:rPr>
        <w:t>Дезинфекция обуви:</w:t>
      </w:r>
      <w:r w:rsidR="002B05F7">
        <w:t xml:space="preserve"> внутреннюю поверхность обуви двукратно протирают разными салфетками, смоченными средством, используя на одну пару обуви на каждую обработку </w:t>
      </w:r>
      <w:r w:rsidR="002B05F7">
        <w:t>две салфетки, время дезинфекционной выдержки 5 минут. Или двукратно с интервалом 5 минут орошают внутреннюю поверхность обуви до полного увлажнения, общее время дезинфекционной выдержки 10 минут</w:t>
      </w:r>
      <w:r w:rsidR="002B05F7">
        <w:rPr>
          <w:rStyle w:val="Bodytext21"/>
        </w:rPr>
        <w:t>.</w:t>
      </w:r>
    </w:p>
    <w:p w:rsidR="00C77139" w:rsidRDefault="00F2318E" w:rsidP="00F2318E">
      <w:pPr>
        <w:pStyle w:val="Bodytext20"/>
        <w:shd w:val="clear" w:color="auto" w:fill="auto"/>
        <w:tabs>
          <w:tab w:val="left" w:pos="981"/>
        </w:tabs>
        <w:spacing w:before="0"/>
      </w:pPr>
      <w:r>
        <w:t xml:space="preserve">        2.1.10 </w:t>
      </w:r>
      <w:r w:rsidR="002B05F7">
        <w:t>Дезинфекция наружных поверхностей медицинских приборов и апп</w:t>
      </w:r>
      <w:r w:rsidR="002B05F7">
        <w:t>аратов, физиотерапевтического оборудования, диагностического оборудования, не предназначенного для инвазивного вмешательства и не контактирующих непосредственно со слизистой пациентов. Датчики УЗИ, фонендоскопы и др. двукратно протирают разными салфетками,</w:t>
      </w:r>
      <w:r w:rsidR="002B05F7">
        <w:t xml:space="preserve"> смоченными средством, общее время дезинфекционной выдержки — 5 минут, при туберкулезе — 10 минут.</w:t>
      </w:r>
    </w:p>
    <w:p w:rsidR="0002308C" w:rsidRDefault="00F2318E" w:rsidP="00F2318E">
      <w:pPr>
        <w:pStyle w:val="Bodytext20"/>
        <w:shd w:val="clear" w:color="auto" w:fill="auto"/>
        <w:spacing w:after="300" w:line="235" w:lineRule="exact"/>
        <w:jc w:val="left"/>
      </w:pPr>
      <w:r>
        <w:t xml:space="preserve">       2.1.11 </w:t>
      </w:r>
      <w:r w:rsidR="0002308C">
        <w:t>Режимы дезинфекции различных объектов средством «Антисептик» представлены в таблице 1</w:t>
      </w:r>
    </w:p>
    <w:p w:rsidR="0002308C" w:rsidRDefault="0002308C" w:rsidP="0002308C">
      <w:pPr>
        <w:pStyle w:val="Bodytext20"/>
        <w:shd w:val="clear" w:color="auto" w:fill="auto"/>
        <w:spacing w:line="235" w:lineRule="exact"/>
      </w:pPr>
      <w:r>
        <w:t>Таблица 1. Режимы дезинфекции различных объектов средством «Антисептик»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16"/>
        <w:gridCol w:w="1699"/>
        <w:gridCol w:w="1421"/>
        <w:gridCol w:w="1483"/>
      </w:tblGrid>
      <w:tr w:rsidR="0002308C" w:rsidTr="0002308C">
        <w:tblPrEx>
          <w:tblCellMar>
            <w:top w:w="0" w:type="dxa"/>
            <w:bottom w:w="0" w:type="dxa"/>
          </w:tblCellMar>
        </w:tblPrEx>
        <w:trPr>
          <w:trHeight w:hRule="exact" w:val="100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lastRenderedPageBreak/>
              <w:t>Объект обеззараживания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Вид инфекции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Время Обеззараживания, мин.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Способ</w:t>
            </w:r>
          </w:p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Обеззара</w:t>
            </w:r>
          </w:p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живания</w:t>
            </w:r>
          </w:p>
        </w:tc>
      </w:tr>
      <w:tr w:rsidR="0002308C" w:rsidTr="0002308C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Поверхности в помещениях, на санитарном транспорте, предметы обстановки, жёсткая мебель, наружные поверхности приборов, медицинского оборудования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Бактериальные</w:t>
            </w:r>
          </w:p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(кроме</w:t>
            </w:r>
          </w:p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туберкулеза)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08C" w:rsidRPr="00F2318E" w:rsidRDefault="0002308C" w:rsidP="0002308C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Орошение или</w:t>
            </w:r>
          </w:p>
        </w:tc>
      </w:tr>
      <w:tr w:rsidR="0002308C" w:rsidTr="0002308C">
        <w:tblPrEx>
          <w:tblCellMar>
            <w:top w:w="0" w:type="dxa"/>
            <w:bottom w:w="0" w:type="dxa"/>
          </w:tblCellMar>
        </w:tblPrEx>
        <w:trPr>
          <w:trHeight w:hRule="exact" w:val="423"/>
          <w:jc w:val="center"/>
        </w:trPr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framePr w:w="721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Кандидозы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3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протирание</w:t>
            </w:r>
          </w:p>
        </w:tc>
      </w:tr>
      <w:tr w:rsidR="0002308C" w:rsidTr="0002308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framePr w:w="721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Дерматофитии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5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08C" w:rsidRPr="00F2318E" w:rsidRDefault="0002308C" w:rsidP="00A4583F">
            <w:pPr>
              <w:framePr w:w="7219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02308C" w:rsidTr="0002308C">
        <w:tblPrEx>
          <w:tblCellMar>
            <w:top w:w="0" w:type="dxa"/>
            <w:bottom w:w="0" w:type="dxa"/>
          </w:tblCellMar>
        </w:tblPrEx>
        <w:trPr>
          <w:trHeight w:hRule="exact" w:val="405"/>
          <w:jc w:val="center"/>
        </w:trPr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framePr w:w="721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Туберкулез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Протирание</w:t>
            </w:r>
          </w:p>
        </w:tc>
      </w:tr>
      <w:tr w:rsidR="0002308C" w:rsidTr="0002308C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framePr w:w="721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framePr w:w="721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Орошение</w:t>
            </w:r>
          </w:p>
        </w:tc>
      </w:tr>
      <w:tr w:rsidR="0002308C" w:rsidTr="0002308C">
        <w:tblPrEx>
          <w:tblCellMar>
            <w:top w:w="0" w:type="dxa"/>
            <w:bottom w:w="0" w:type="dxa"/>
          </w:tblCellMar>
        </w:tblPrEx>
        <w:trPr>
          <w:trHeight w:hRule="exact" w:val="633"/>
          <w:jc w:val="center"/>
        </w:trPr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framePr w:w="721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Вирусные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Протирание</w:t>
            </w:r>
          </w:p>
        </w:tc>
      </w:tr>
      <w:tr w:rsidR="0002308C" w:rsidTr="00F2318E">
        <w:tblPrEx>
          <w:tblCellMar>
            <w:top w:w="0" w:type="dxa"/>
            <w:bottom w:w="0" w:type="dxa"/>
          </w:tblCellMar>
        </w:tblPrEx>
        <w:trPr>
          <w:trHeight w:hRule="exact" w:val="1036"/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Санитарно -техническое оборудование (ручки кранов и сливных бачков, сидения унитазов в туалетных комнатах, туалетных полочек, тумбочек и др.)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Бактериальные</w:t>
            </w:r>
          </w:p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(кроме</w:t>
            </w:r>
          </w:p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туберкулеза),</w:t>
            </w:r>
          </w:p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кандидозы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5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Двукратное орошение или двукратное протирание</w:t>
            </w:r>
          </w:p>
        </w:tc>
      </w:tr>
      <w:tr w:rsidR="0002308C" w:rsidTr="00A4583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framePr w:w="721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Дерматофитии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10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framePr w:w="7219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02308C" w:rsidTr="00A4583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framePr w:w="721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Туберкулез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after="60" w:line="200" w:lineRule="exact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Двукратное</w:t>
            </w:r>
          </w:p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before="60" w:line="200" w:lineRule="exact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протирание</w:t>
            </w:r>
          </w:p>
        </w:tc>
      </w:tr>
      <w:tr w:rsidR="0002308C" w:rsidTr="00A4583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framePr w:w="721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framePr w:w="721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after="60" w:line="200" w:lineRule="exact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Двукратное</w:t>
            </w:r>
          </w:p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before="60" w:line="200" w:lineRule="exact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орошение</w:t>
            </w:r>
          </w:p>
        </w:tc>
      </w:tr>
      <w:tr w:rsidR="0002308C" w:rsidTr="00F2318E">
        <w:tblPrEx>
          <w:tblCellMar>
            <w:top w:w="0" w:type="dxa"/>
            <w:bottom w:w="0" w:type="dxa"/>
          </w:tblCellMar>
        </w:tblPrEx>
        <w:trPr>
          <w:trHeight w:hRule="exact" w:val="1098"/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Предметы ухода за больными (судна, подкладные кленки, термометры), предметы личной гигиены, игрушки из непористых материалов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ind w:left="220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Бактериальные</w:t>
            </w:r>
          </w:p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(кроме</w:t>
            </w:r>
          </w:p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ind w:left="220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туберкулеза),</w:t>
            </w:r>
          </w:p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кандидозы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Двукратное орошение или двукратное протирание</w:t>
            </w:r>
          </w:p>
        </w:tc>
      </w:tr>
      <w:tr w:rsidR="0002308C" w:rsidTr="00A4583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framePr w:w="721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after="60" w:line="200" w:lineRule="exact"/>
              <w:ind w:left="220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Дерматофитии,</w:t>
            </w:r>
          </w:p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Туберкулез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after="60" w:line="200" w:lineRule="exact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Двукратное</w:t>
            </w:r>
          </w:p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before="60" w:line="200" w:lineRule="exact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протирание</w:t>
            </w:r>
          </w:p>
        </w:tc>
      </w:tr>
      <w:tr w:rsidR="0002308C" w:rsidTr="00A4583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framePr w:w="721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framePr w:w="721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after="60" w:line="200" w:lineRule="exact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Двукратное</w:t>
            </w:r>
          </w:p>
          <w:p w:rsidR="0002308C" w:rsidRPr="00F2318E" w:rsidRDefault="0002308C" w:rsidP="00A4583F">
            <w:pPr>
              <w:pStyle w:val="Bodytext20"/>
              <w:framePr w:w="7219" w:wrap="notBeside" w:vAnchor="text" w:hAnchor="text" w:xAlign="center" w:y="1"/>
              <w:shd w:val="clear" w:color="auto" w:fill="auto"/>
              <w:spacing w:before="60" w:line="200" w:lineRule="exact"/>
              <w:jc w:val="left"/>
              <w:rPr>
                <w:sz w:val="18"/>
                <w:szCs w:val="18"/>
              </w:rPr>
            </w:pPr>
            <w:r w:rsidRPr="00F2318E">
              <w:rPr>
                <w:sz w:val="18"/>
                <w:szCs w:val="18"/>
              </w:rPr>
              <w:t>орошение</w:t>
            </w:r>
          </w:p>
        </w:tc>
      </w:tr>
    </w:tbl>
    <w:p w:rsidR="0002308C" w:rsidRDefault="0002308C" w:rsidP="00F2318E">
      <w:pPr>
        <w:pStyle w:val="Tablecaption20"/>
        <w:framePr w:w="7219" w:wrap="notBeside" w:vAnchor="text" w:hAnchor="text" w:xAlign="center" w:y="1"/>
        <w:shd w:val="clear" w:color="auto" w:fill="auto"/>
        <w:ind w:firstLine="0"/>
      </w:pPr>
      <w:r>
        <w:rPr>
          <w:color w:val="000000"/>
        </w:rPr>
        <w:t>Таблица 2 — Режимы профилактической дезинфекции объектов дезинфицирующим средством «Антисептик» (гостиницы, общежития, продовольственные и промышленные рынки, учреждения культуры, отдыха, спорта, кинотеатры, дома инвалидов, престарелых и др.).</w:t>
      </w:r>
    </w:p>
    <w:p w:rsidR="0002308C" w:rsidRPr="00F2318E" w:rsidRDefault="0002308C" w:rsidP="00F2318E">
      <w:pPr>
        <w:framePr w:w="7219" w:wrap="notBeside" w:vAnchor="text" w:hAnchor="text" w:xAlign="center" w:y="1"/>
        <w:rPr>
          <w:sz w:val="2"/>
          <w:szCs w:val="2"/>
        </w:rPr>
      </w:pPr>
    </w:p>
    <w:p w:rsidR="0002308C" w:rsidRPr="0002308C" w:rsidRDefault="0002308C" w:rsidP="00F2318E">
      <w:pPr>
        <w:pStyle w:val="a4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65"/>
        <w:gridCol w:w="1310"/>
        <w:gridCol w:w="1421"/>
      </w:tblGrid>
      <w:tr w:rsidR="0002308C" w:rsidTr="00F2318E">
        <w:tblPrEx>
          <w:tblCellMar>
            <w:top w:w="0" w:type="dxa"/>
            <w:bottom w:w="0" w:type="dxa"/>
          </w:tblCellMar>
        </w:tblPrEx>
        <w:trPr>
          <w:trHeight w:hRule="exact" w:val="1007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08C" w:rsidRDefault="0002308C" w:rsidP="00A4583F">
            <w:pPr>
              <w:pStyle w:val="Bodytext20"/>
              <w:framePr w:w="7296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t>Объект</w:t>
            </w:r>
          </w:p>
          <w:p w:rsidR="0002308C" w:rsidRDefault="0002308C" w:rsidP="00A4583F">
            <w:pPr>
              <w:pStyle w:val="Bodytext20"/>
              <w:framePr w:w="7296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t>обеззараживания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08C" w:rsidRDefault="0002308C" w:rsidP="00A4583F">
            <w:pPr>
              <w:pStyle w:val="Bodytext20"/>
              <w:framePr w:w="7296" w:wrap="notBeside" w:vAnchor="text" w:hAnchor="text" w:xAlign="center" w:y="1"/>
              <w:shd w:val="clear" w:color="auto" w:fill="auto"/>
              <w:jc w:val="center"/>
            </w:pPr>
            <w:r>
              <w:t>Время</w:t>
            </w:r>
          </w:p>
          <w:p w:rsidR="0002308C" w:rsidRDefault="0002308C" w:rsidP="00A4583F">
            <w:pPr>
              <w:pStyle w:val="Bodytext20"/>
              <w:framePr w:w="7296" w:wrap="notBeside" w:vAnchor="text" w:hAnchor="text" w:xAlign="center" w:y="1"/>
              <w:shd w:val="clear" w:color="auto" w:fill="auto"/>
              <w:jc w:val="center"/>
            </w:pPr>
            <w:r>
              <w:t>обеззаражива ния, мин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8C" w:rsidRDefault="0002308C" w:rsidP="00A4583F">
            <w:pPr>
              <w:pStyle w:val="Bodytext20"/>
              <w:framePr w:w="7296" w:wrap="notBeside" w:vAnchor="text" w:hAnchor="text" w:xAlign="center" w:y="1"/>
              <w:shd w:val="clear" w:color="auto" w:fill="auto"/>
              <w:jc w:val="center"/>
            </w:pPr>
            <w:r>
              <w:t>Способ</w:t>
            </w:r>
          </w:p>
          <w:p w:rsidR="0002308C" w:rsidRDefault="0002308C" w:rsidP="00A4583F">
            <w:pPr>
              <w:pStyle w:val="Bodytext20"/>
              <w:framePr w:w="7296" w:wrap="notBeside" w:vAnchor="text" w:hAnchor="text" w:xAlign="center" w:y="1"/>
              <w:shd w:val="clear" w:color="auto" w:fill="auto"/>
              <w:jc w:val="center"/>
            </w:pPr>
            <w:r>
              <w:t>Обеззара</w:t>
            </w:r>
          </w:p>
          <w:p w:rsidR="0002308C" w:rsidRDefault="0002308C" w:rsidP="00A4583F">
            <w:pPr>
              <w:pStyle w:val="Bodytext20"/>
              <w:framePr w:w="7296" w:wrap="notBeside" w:vAnchor="text" w:hAnchor="text" w:xAlign="center" w:y="1"/>
              <w:shd w:val="clear" w:color="auto" w:fill="auto"/>
              <w:jc w:val="center"/>
            </w:pPr>
            <w:r>
              <w:t>живания</w:t>
            </w:r>
          </w:p>
        </w:tc>
      </w:tr>
      <w:tr w:rsidR="0002308C" w:rsidTr="00A4583F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08C" w:rsidRDefault="0002308C" w:rsidP="00A4583F">
            <w:pPr>
              <w:pStyle w:val="Bodytext20"/>
              <w:framePr w:w="729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Трубки телефонных аппаратов, дверные ручки, выключатели, журнальные и обеденные столики, подлокотники кресел, туалетные полочки, тумбочки, ручки кранов и сливных бачков, сиденье унитаза в туалетных комнатах.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08C" w:rsidRDefault="0002308C" w:rsidP="00A4583F">
            <w:pPr>
              <w:pStyle w:val="Bodytext20"/>
              <w:framePr w:w="729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8C" w:rsidRDefault="0002308C" w:rsidP="00A4583F">
            <w:pPr>
              <w:pStyle w:val="Bodytext20"/>
              <w:framePr w:w="7296" w:wrap="notBeside" w:vAnchor="text" w:hAnchor="text" w:xAlign="center" w:y="1"/>
              <w:shd w:val="clear" w:color="auto" w:fill="auto"/>
            </w:pPr>
            <w:r>
              <w:t>Орошение или протирание</w:t>
            </w:r>
          </w:p>
        </w:tc>
      </w:tr>
    </w:tbl>
    <w:p w:rsidR="0002308C" w:rsidRPr="0002308C" w:rsidRDefault="0002308C" w:rsidP="00F2318E">
      <w:pPr>
        <w:pStyle w:val="a4"/>
        <w:framePr w:w="7296" w:wrap="notBeside" w:vAnchor="text" w:hAnchor="text" w:xAlign="center" w:y="1"/>
        <w:rPr>
          <w:sz w:val="2"/>
          <w:szCs w:val="2"/>
        </w:rPr>
      </w:pPr>
    </w:p>
    <w:p w:rsidR="0002308C" w:rsidRPr="0002308C" w:rsidRDefault="0002308C" w:rsidP="00F2318E">
      <w:pPr>
        <w:pStyle w:val="a4"/>
        <w:rPr>
          <w:sz w:val="2"/>
          <w:szCs w:val="2"/>
        </w:rPr>
      </w:pPr>
    </w:p>
    <w:p w:rsidR="0002308C" w:rsidRDefault="0002308C" w:rsidP="00F2318E">
      <w:pPr>
        <w:pStyle w:val="Tablecaption0"/>
        <w:framePr w:w="7306" w:wrap="notBeside" w:vAnchor="text" w:hAnchor="text" w:xAlign="center" w:y="1"/>
        <w:shd w:val="clear" w:color="auto" w:fill="auto"/>
      </w:pPr>
      <w:r>
        <w:rPr>
          <w:rStyle w:val="TablecaptionNotBold"/>
          <w:b w:val="0"/>
          <w:bCs w:val="0"/>
        </w:rPr>
        <w:t xml:space="preserve">Таблица 3 — </w:t>
      </w:r>
      <w:r>
        <w:rPr>
          <w:color w:val="000000"/>
        </w:rPr>
        <w:t xml:space="preserve">Режимы дезинфекции поверхностей медицинских изделий, медицинской техники, которые не соприкасаются непосредственно с пациентом или конструктивные особенности которых не позволяют применять способ погружения, салфетками </w:t>
      </w:r>
      <w:r w:rsidR="00F2318E">
        <w:rPr>
          <w:color w:val="000000"/>
        </w:rPr>
        <w:t>«</w:t>
      </w:r>
      <w:r>
        <w:rPr>
          <w:color w:val="000000"/>
        </w:rPr>
        <w:t>Антисептик»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33"/>
        <w:gridCol w:w="2549"/>
        <w:gridCol w:w="994"/>
        <w:gridCol w:w="1430"/>
      </w:tblGrid>
      <w:tr w:rsidR="0002308C" w:rsidTr="00A4583F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08C" w:rsidRDefault="0002308C" w:rsidP="00A4583F">
            <w:pPr>
              <w:pStyle w:val="Bodytext20"/>
              <w:framePr w:w="730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Объект обеззараживания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08C" w:rsidRDefault="0002308C" w:rsidP="00A4583F">
            <w:pPr>
              <w:pStyle w:val="Bodytext20"/>
              <w:framePr w:w="730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Вид инфекции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08C" w:rsidRDefault="0002308C" w:rsidP="00A4583F">
            <w:pPr>
              <w:pStyle w:val="Bodytext20"/>
              <w:framePr w:w="7306" w:wrap="notBeside" w:vAnchor="text" w:hAnchor="text" w:xAlign="center" w:y="1"/>
              <w:shd w:val="clear" w:color="auto" w:fill="auto"/>
              <w:ind w:left="220"/>
              <w:jc w:val="left"/>
            </w:pPr>
            <w:r>
              <w:t>Время</w:t>
            </w:r>
          </w:p>
          <w:p w:rsidR="0002308C" w:rsidRDefault="0002308C" w:rsidP="00A4583F">
            <w:pPr>
              <w:pStyle w:val="Bodytext20"/>
              <w:framePr w:w="7306" w:wrap="notBeside" w:vAnchor="text" w:hAnchor="text" w:xAlign="center" w:y="1"/>
              <w:shd w:val="clear" w:color="auto" w:fill="auto"/>
              <w:jc w:val="left"/>
            </w:pPr>
            <w:r>
              <w:t>обеззара</w:t>
            </w:r>
          </w:p>
          <w:p w:rsidR="0002308C" w:rsidRDefault="0002308C" w:rsidP="00A4583F">
            <w:pPr>
              <w:pStyle w:val="Bodytext20"/>
              <w:framePr w:w="7306" w:wrap="notBeside" w:vAnchor="text" w:hAnchor="text" w:xAlign="center" w:y="1"/>
              <w:shd w:val="clear" w:color="auto" w:fill="auto"/>
              <w:jc w:val="left"/>
            </w:pPr>
            <w:r>
              <w:t>живания,</w:t>
            </w:r>
          </w:p>
          <w:p w:rsidR="0002308C" w:rsidRDefault="0002308C" w:rsidP="00A4583F">
            <w:pPr>
              <w:pStyle w:val="Bodytext20"/>
              <w:framePr w:w="7306" w:wrap="notBeside" w:vAnchor="text" w:hAnchor="text" w:xAlign="center" w:y="1"/>
              <w:shd w:val="clear" w:color="auto" w:fill="auto"/>
              <w:jc w:val="center"/>
            </w:pPr>
            <w:r>
              <w:t>мин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8C" w:rsidRDefault="0002308C" w:rsidP="00A4583F">
            <w:pPr>
              <w:pStyle w:val="Bodytext20"/>
              <w:framePr w:w="7306" w:wrap="notBeside" w:vAnchor="text" w:hAnchor="text" w:xAlign="center" w:y="1"/>
              <w:shd w:val="clear" w:color="auto" w:fill="auto"/>
              <w:jc w:val="center"/>
            </w:pPr>
            <w:r>
              <w:t>Способ</w:t>
            </w:r>
          </w:p>
          <w:p w:rsidR="0002308C" w:rsidRDefault="0002308C" w:rsidP="00A4583F">
            <w:pPr>
              <w:pStyle w:val="Bodytext20"/>
              <w:framePr w:w="7306" w:wrap="notBeside" w:vAnchor="text" w:hAnchor="text" w:xAlign="center" w:y="1"/>
              <w:shd w:val="clear" w:color="auto" w:fill="auto"/>
              <w:jc w:val="center"/>
            </w:pPr>
            <w:r>
              <w:t>Обеззара</w:t>
            </w:r>
          </w:p>
          <w:p w:rsidR="0002308C" w:rsidRDefault="0002308C" w:rsidP="00A4583F">
            <w:pPr>
              <w:pStyle w:val="Bodytext20"/>
              <w:framePr w:w="7306" w:wrap="notBeside" w:vAnchor="text" w:hAnchor="text" w:xAlign="center" w:y="1"/>
              <w:shd w:val="clear" w:color="auto" w:fill="auto"/>
              <w:jc w:val="center"/>
            </w:pPr>
            <w:r>
              <w:t>живания</w:t>
            </w:r>
          </w:p>
        </w:tc>
      </w:tr>
      <w:tr w:rsidR="0002308C" w:rsidTr="00F2318E">
        <w:tblPrEx>
          <w:tblCellMar>
            <w:top w:w="0" w:type="dxa"/>
            <w:bottom w:w="0" w:type="dxa"/>
          </w:tblCellMar>
        </w:tblPrEx>
        <w:trPr>
          <w:trHeight w:hRule="exact" w:val="858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08C" w:rsidRDefault="0002308C" w:rsidP="00A4583F">
            <w:pPr>
              <w:pStyle w:val="Bodytext20"/>
              <w:framePr w:w="7306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t>Поверхности медицинских изделий, медицинской техники, конструктивные особенности которых не позволяют применять способ погружения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08C" w:rsidRDefault="0002308C" w:rsidP="00A4583F">
            <w:pPr>
              <w:pStyle w:val="Bodytext20"/>
              <w:framePr w:w="730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Бактериальные (кроме туберкулеза), вирусные, кандидозы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08C" w:rsidRDefault="0002308C" w:rsidP="00A4583F">
            <w:pPr>
              <w:pStyle w:val="Bodytext20"/>
              <w:framePr w:w="730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8C" w:rsidRDefault="0002308C" w:rsidP="00A4583F">
            <w:pPr>
              <w:pStyle w:val="Bodytext20"/>
              <w:framePr w:w="730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t>Двукратное</w:t>
            </w:r>
          </w:p>
          <w:p w:rsidR="0002308C" w:rsidRDefault="0002308C" w:rsidP="00A4583F">
            <w:pPr>
              <w:pStyle w:val="Bodytext20"/>
              <w:framePr w:w="730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t>протирание</w:t>
            </w:r>
          </w:p>
        </w:tc>
      </w:tr>
      <w:tr w:rsidR="0002308C" w:rsidTr="00F2318E">
        <w:tblPrEx>
          <w:tblCellMar>
            <w:top w:w="0" w:type="dxa"/>
            <w:bottom w:w="0" w:type="dxa"/>
          </w:tblCellMar>
        </w:tblPrEx>
        <w:trPr>
          <w:trHeight w:hRule="exact" w:val="1139"/>
          <w:jc w:val="center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08C" w:rsidRDefault="0002308C" w:rsidP="00A4583F">
            <w:pPr>
              <w:framePr w:w="7306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08C" w:rsidRDefault="0002308C" w:rsidP="00A4583F">
            <w:pPr>
              <w:pStyle w:val="Bodytext20"/>
              <w:framePr w:w="730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Бактериальные (включая туберкулез — </w:t>
            </w:r>
            <w:r>
              <w:rPr>
                <w:rStyle w:val="Bodytext2Italic"/>
              </w:rPr>
              <w:t>M</w:t>
            </w:r>
            <w:r w:rsidRPr="00B90CCE">
              <w:rPr>
                <w:rStyle w:val="Bodytext2Italic"/>
              </w:rPr>
              <w:t>.</w:t>
            </w:r>
            <w:r>
              <w:rPr>
                <w:rStyle w:val="Bodytext2Italic"/>
              </w:rPr>
              <w:t>terrae</w:t>
            </w:r>
            <w:r w:rsidRPr="00B90CCE">
              <w:rPr>
                <w:lang w:eastAsia="en-US" w:bidi="en-US"/>
              </w:rPr>
              <w:t xml:space="preserve"> </w:t>
            </w:r>
            <w:r>
              <w:t>), вирусные, кандидозы, дерматофитии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08C" w:rsidRDefault="0002308C" w:rsidP="00A4583F">
            <w:pPr>
              <w:pStyle w:val="Bodytext20"/>
              <w:framePr w:w="730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8C" w:rsidRDefault="0002308C" w:rsidP="00A4583F">
            <w:pPr>
              <w:pStyle w:val="Bodytext20"/>
              <w:framePr w:w="730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t>Двукратное</w:t>
            </w:r>
          </w:p>
          <w:p w:rsidR="0002308C" w:rsidRDefault="0002308C" w:rsidP="00A4583F">
            <w:pPr>
              <w:pStyle w:val="Bodytext20"/>
              <w:framePr w:w="730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t>протирание</w:t>
            </w:r>
          </w:p>
        </w:tc>
      </w:tr>
    </w:tbl>
    <w:p w:rsidR="0002308C" w:rsidRPr="0002308C" w:rsidRDefault="0002308C" w:rsidP="00F2318E">
      <w:pPr>
        <w:pStyle w:val="a4"/>
        <w:framePr w:w="7306" w:wrap="notBeside" w:vAnchor="text" w:hAnchor="text" w:xAlign="center" w:y="1"/>
        <w:rPr>
          <w:sz w:val="2"/>
          <w:szCs w:val="2"/>
        </w:rPr>
      </w:pPr>
    </w:p>
    <w:p w:rsidR="0002308C" w:rsidRPr="0002308C" w:rsidRDefault="0002308C" w:rsidP="00F2318E">
      <w:pPr>
        <w:pStyle w:val="a4"/>
        <w:rPr>
          <w:sz w:val="2"/>
          <w:szCs w:val="2"/>
        </w:rPr>
      </w:pPr>
    </w:p>
    <w:p w:rsidR="00AA31CD" w:rsidRDefault="00AA31CD" w:rsidP="00AA31CD">
      <w:pPr>
        <w:pStyle w:val="Bodytext30"/>
        <w:numPr>
          <w:ilvl w:val="0"/>
          <w:numId w:val="11"/>
        </w:numPr>
        <w:shd w:val="clear" w:color="auto" w:fill="auto"/>
        <w:tabs>
          <w:tab w:val="left" w:pos="1420"/>
        </w:tabs>
        <w:spacing w:line="226" w:lineRule="exact"/>
        <w:ind w:firstLine="460"/>
        <w:jc w:val="both"/>
      </w:pPr>
      <w:r>
        <w:t>Дезинфекция внутренней поверхности обуви.</w:t>
      </w:r>
    </w:p>
    <w:p w:rsidR="00AA31CD" w:rsidRDefault="00AA31CD" w:rsidP="00AA31CD">
      <w:pPr>
        <w:pStyle w:val="Bodytext20"/>
        <w:shd w:val="clear" w:color="auto" w:fill="auto"/>
        <w:ind w:firstLine="460"/>
      </w:pPr>
      <w:r>
        <w:t>Внутреннюю поверхность обуви двукратно протирают разными салфетками,</w:t>
      </w:r>
    </w:p>
    <w:p w:rsidR="00AA31CD" w:rsidRDefault="00AA31CD" w:rsidP="00AA31CD">
      <w:pPr>
        <w:pStyle w:val="Bodytext20"/>
        <w:shd w:val="clear" w:color="auto" w:fill="auto"/>
      </w:pPr>
      <w:r>
        <w:t>смоченными средством, используя на одну пару обуви на каждую обработку две салфетки. Время дезинфекционной выдержки 5 минут.</w:t>
      </w:r>
    </w:p>
    <w:p w:rsidR="00AA31CD" w:rsidRDefault="00AA31CD" w:rsidP="00AA31CD">
      <w:pPr>
        <w:pStyle w:val="Bodytext20"/>
        <w:numPr>
          <w:ilvl w:val="0"/>
          <w:numId w:val="11"/>
        </w:numPr>
        <w:shd w:val="clear" w:color="auto" w:fill="auto"/>
        <w:tabs>
          <w:tab w:val="left" w:pos="994"/>
        </w:tabs>
        <w:spacing w:before="0"/>
        <w:ind w:firstLine="460"/>
      </w:pPr>
      <w:r>
        <w:t>Дезинфекция небольших по площади твердых поверхностей и предметов обстановки, наружных поверхностей приборов, аппаратов, медицинского оборудования, поверхностей на санитарном транспорте.</w:t>
      </w:r>
    </w:p>
    <w:p w:rsidR="00AA31CD" w:rsidRDefault="00AA31CD" w:rsidP="00AA31CD">
      <w:pPr>
        <w:pStyle w:val="Bodytext20"/>
        <w:shd w:val="clear" w:color="auto" w:fill="auto"/>
        <w:ind w:firstLine="460"/>
      </w:pPr>
      <w:r>
        <w:t>Поверхности, не загрязненные биологическими выделениями, протирают влажной нетканой салфеткой по режимам таблицы 1. Поверхности, подлежащие дезинфекции, должны быть увлажнены средством полностью и равномерно по всей плоскости. Обработка одной салфеткой проводится однократно. Одна салфетка рассчитана на обработку площади не более 0,2 м</w:t>
      </w:r>
      <w:r>
        <w:rPr>
          <w:vertAlign w:val="superscript"/>
        </w:rPr>
        <w:t>2</w:t>
      </w:r>
      <w:r>
        <w:t xml:space="preserve"> (40см на 50 см). Для дезинфекции больших по площади поверхностей следует использовать несколько салфеток. Максимально допустимая для обработки площадь должна составлять не более 1/10 от общей площади </w:t>
      </w:r>
      <w:r>
        <w:lastRenderedPageBreak/>
        <w:t>помещения (например, в помещении площадью 10 м</w:t>
      </w:r>
      <w:r>
        <w:rPr>
          <w:vertAlign w:val="superscript"/>
        </w:rPr>
        <w:t>2</w:t>
      </w:r>
      <w:r>
        <w:t xml:space="preserve"> обеззараживаемая поверхность должна составлять не более 1 м</w:t>
      </w:r>
      <w:r>
        <w:rPr>
          <w:vertAlign w:val="superscript"/>
        </w:rPr>
        <w:t>2</w:t>
      </w:r>
      <w:r>
        <w:t>).</w:t>
      </w:r>
    </w:p>
    <w:p w:rsidR="00AA31CD" w:rsidRDefault="00AA31CD" w:rsidP="00AA31CD">
      <w:pPr>
        <w:pStyle w:val="Bodytext20"/>
        <w:shd w:val="clear" w:color="auto" w:fill="auto"/>
        <w:ind w:firstLine="460"/>
      </w:pPr>
      <w:r>
        <w:t>Средство не рекомендуется применять для обработки поверхностей, покрытых низкосортными или спирторастворимыми красками и лаками, из органического (акрилового) стекла и других материалов, не устойчивых к воздействию спирта. Перед применением рекомендуется проверить действие средства на небольшом малозаметном участке поверхности.</w:t>
      </w:r>
    </w:p>
    <w:p w:rsidR="00AA31CD" w:rsidRDefault="00AA31CD" w:rsidP="00AA31CD">
      <w:pPr>
        <w:pStyle w:val="Bodytext20"/>
        <w:shd w:val="clear" w:color="auto" w:fill="auto"/>
        <w:ind w:firstLine="460"/>
      </w:pPr>
      <w:r>
        <w:t>При наличии биологических загрязнений (органических и др.) на обрабатываемых поверхностях, необходимо одной салфеткой удалить загрязнение, а другой провести повторную обработку по режимам, представленным в таблице 1. Выбросить салфетку в емкость для медицинских отходов для дальнейшей утилизации.</w:t>
      </w:r>
    </w:p>
    <w:p w:rsidR="00AA31CD" w:rsidRDefault="00AA31CD" w:rsidP="00AA31CD">
      <w:pPr>
        <w:pStyle w:val="Bodytext20"/>
        <w:shd w:val="clear" w:color="auto" w:fill="auto"/>
        <w:ind w:firstLine="460"/>
      </w:pPr>
      <w:r>
        <w:t>В парикмахерских, банях, саунах, бассейнах, спортивных комплексах, косметических салонах дезинфекцию объектов проводят по режимам, рекомендованным при дерматофитиях (таблица 1).</w:t>
      </w:r>
    </w:p>
    <w:p w:rsidR="00AA31CD" w:rsidRDefault="00AA31CD" w:rsidP="00AA31CD">
      <w:pPr>
        <w:pStyle w:val="Bodytext20"/>
        <w:shd w:val="clear" w:color="auto" w:fill="auto"/>
        <w:ind w:firstLine="460"/>
      </w:pPr>
      <w:r>
        <w:t>Предметы ухода за больными из непористых, гладких материалов (подкладные клеенки, грелки и т.п.) протирают салфеткой, обильно смоченной средством, по режимам указанным в таблице 1.</w:t>
      </w:r>
    </w:p>
    <w:p w:rsidR="00AA31CD" w:rsidRDefault="00AA31CD" w:rsidP="00AA31CD">
      <w:pPr>
        <w:pStyle w:val="Bodytext20"/>
        <w:numPr>
          <w:ilvl w:val="0"/>
          <w:numId w:val="12"/>
        </w:numPr>
        <w:shd w:val="clear" w:color="auto" w:fill="auto"/>
        <w:tabs>
          <w:tab w:val="left" w:pos="973"/>
        </w:tabs>
        <w:spacing w:before="0"/>
        <w:ind w:firstLine="460"/>
      </w:pPr>
      <w:r>
        <w:t>Дезинфекцию санитарно-технического оборудования (ручки кранов и сливных бачков, сидения унитазов в туалетных комнатах, туалетных полочек, тумбочек и др.), предметов ухода за больными, игрушек, спортинвентаря проводят способом протирания по режимам, представленным в таблице 1.</w:t>
      </w:r>
    </w:p>
    <w:p w:rsidR="00AA31CD" w:rsidRDefault="00AA31CD" w:rsidP="00AA31CD">
      <w:pPr>
        <w:pStyle w:val="Bodytext20"/>
        <w:numPr>
          <w:ilvl w:val="0"/>
          <w:numId w:val="12"/>
        </w:numPr>
        <w:shd w:val="clear" w:color="auto" w:fill="auto"/>
        <w:tabs>
          <w:tab w:val="left" w:pos="973"/>
        </w:tabs>
        <w:spacing w:before="0"/>
        <w:ind w:firstLine="460"/>
      </w:pPr>
      <w:r>
        <w:t>Обработка поверхностей медицинских изделий, медицинской техники, которые не соприкасаются непосредственно с пациентом или конструктивные особенности которых не позволяют применять способ погружения, проводится по режимам, представленным в таблице 3 и с учетом рекомендаций фирмы-изготовителя каждого конкретного изделия.</w:t>
      </w:r>
    </w:p>
    <w:p w:rsidR="00AA31CD" w:rsidRDefault="00AA31CD" w:rsidP="00AA31CD">
      <w:pPr>
        <w:pStyle w:val="Bodytext20"/>
        <w:numPr>
          <w:ilvl w:val="0"/>
          <w:numId w:val="12"/>
        </w:numPr>
        <w:shd w:val="clear" w:color="auto" w:fill="auto"/>
        <w:tabs>
          <w:tab w:val="left" w:pos="1118"/>
        </w:tabs>
        <w:spacing w:before="0" w:after="180"/>
        <w:ind w:firstLine="460"/>
      </w:pPr>
      <w:r>
        <w:t>Профилактическую дезинфекцию поверхностей проводят по режимам, представленным в таблице 2.</w:t>
      </w:r>
    </w:p>
    <w:p w:rsidR="00AA31CD" w:rsidRDefault="00AA31CD" w:rsidP="00AA31CD">
      <w:pPr>
        <w:pStyle w:val="Heading30"/>
        <w:keepNext/>
        <w:keepLines/>
        <w:numPr>
          <w:ilvl w:val="0"/>
          <w:numId w:val="14"/>
        </w:numPr>
        <w:shd w:val="clear" w:color="auto" w:fill="auto"/>
        <w:tabs>
          <w:tab w:val="left" w:pos="757"/>
        </w:tabs>
        <w:spacing w:after="34" w:line="200" w:lineRule="exact"/>
        <w:ind w:firstLine="460"/>
      </w:pPr>
      <w:r>
        <w:rPr>
          <w:color w:val="000000"/>
        </w:rPr>
        <w:t>МЕРЫ ПРЕДОСТОРОЖНОСТИ:</w:t>
      </w:r>
    </w:p>
    <w:p w:rsidR="00AA31CD" w:rsidRDefault="00AA31CD" w:rsidP="00AA31CD">
      <w:pPr>
        <w:pStyle w:val="Bodytext20"/>
        <w:numPr>
          <w:ilvl w:val="1"/>
          <w:numId w:val="14"/>
        </w:numPr>
        <w:shd w:val="clear" w:color="auto" w:fill="auto"/>
        <w:tabs>
          <w:tab w:val="left" w:pos="835"/>
        </w:tabs>
        <w:spacing w:before="0"/>
        <w:ind w:firstLine="460"/>
      </w:pPr>
      <w:r>
        <w:t>Использовать только по назначению для наружного применения. Запрещается принимать внутрь!</w:t>
      </w:r>
    </w:p>
    <w:p w:rsidR="00AA31CD" w:rsidRDefault="00AA31CD" w:rsidP="00AA31CD">
      <w:pPr>
        <w:pStyle w:val="Bodytext20"/>
        <w:numPr>
          <w:ilvl w:val="1"/>
          <w:numId w:val="14"/>
        </w:numPr>
        <w:shd w:val="clear" w:color="auto" w:fill="auto"/>
        <w:tabs>
          <w:tab w:val="left" w:pos="807"/>
        </w:tabs>
        <w:spacing w:before="0"/>
        <w:ind w:firstLine="460"/>
      </w:pPr>
      <w:r>
        <w:t>Избегать попадания средства в глаза, органы дыхания, на поврежденную кожу.</w:t>
      </w:r>
    </w:p>
    <w:p w:rsidR="00AA31CD" w:rsidRDefault="00AA31CD" w:rsidP="00AA31CD">
      <w:pPr>
        <w:pStyle w:val="Bodytext20"/>
        <w:numPr>
          <w:ilvl w:val="1"/>
          <w:numId w:val="14"/>
        </w:numPr>
        <w:shd w:val="clear" w:color="auto" w:fill="auto"/>
        <w:tabs>
          <w:tab w:val="left" w:pos="807"/>
        </w:tabs>
        <w:spacing w:before="0"/>
        <w:ind w:firstLine="460"/>
      </w:pPr>
      <w:r>
        <w:t>Обработку небольших по площади поверхностей способом протирания в норме расхода можно проводить без средств защиты органов дыхания и в присутствии пациентов (больных). При превышении нормы расхода рекомендуется использовать универсальные респираторы марки РУ-60М или РПГ-67 с патроном марки А и защитные очки, а обработку проводить в отсутствии пациентов.</w:t>
      </w:r>
    </w:p>
    <w:p w:rsidR="00AA31CD" w:rsidRDefault="00AA31CD" w:rsidP="00AA31CD">
      <w:pPr>
        <w:pStyle w:val="Bodytext20"/>
        <w:numPr>
          <w:ilvl w:val="1"/>
          <w:numId w:val="14"/>
        </w:numPr>
        <w:shd w:val="clear" w:color="auto" w:fill="auto"/>
        <w:tabs>
          <w:tab w:val="left" w:pos="807"/>
        </w:tabs>
        <w:spacing w:before="0"/>
        <w:ind w:firstLine="460"/>
      </w:pPr>
      <w:r>
        <w:t xml:space="preserve">Обработку небольших по площади поверхностей способом орошения проводить с использованием средств индивидуальной защиты органов дыхания, и в </w:t>
      </w:r>
      <w:r>
        <w:lastRenderedPageBreak/>
        <w:t>отсутствии пациентов.</w:t>
      </w:r>
    </w:p>
    <w:p w:rsidR="00AA31CD" w:rsidRDefault="00AA31CD" w:rsidP="00AA31CD">
      <w:pPr>
        <w:pStyle w:val="Bodytext20"/>
        <w:numPr>
          <w:ilvl w:val="1"/>
          <w:numId w:val="14"/>
        </w:numPr>
        <w:shd w:val="clear" w:color="auto" w:fill="auto"/>
        <w:tabs>
          <w:tab w:val="left" w:pos="835"/>
        </w:tabs>
        <w:spacing w:before="0"/>
        <w:ind w:firstLine="460"/>
      </w:pPr>
      <w:r>
        <w:t>Средство легко воспламеняется. Не допускать контакта с открытым пламенем или включенными нагревательными приборами. Не курить!</w:t>
      </w:r>
    </w:p>
    <w:p w:rsidR="00AA31CD" w:rsidRDefault="00AA31CD" w:rsidP="00AA31CD">
      <w:pPr>
        <w:pStyle w:val="Bodytext20"/>
        <w:numPr>
          <w:ilvl w:val="1"/>
          <w:numId w:val="14"/>
        </w:numPr>
        <w:shd w:val="clear" w:color="auto" w:fill="auto"/>
        <w:tabs>
          <w:tab w:val="left" w:pos="835"/>
        </w:tabs>
        <w:spacing w:before="0"/>
        <w:ind w:firstLine="460"/>
      </w:pPr>
      <w:r>
        <w:t>Не обрабатывать поверхности объектов, портящиеся от воздействия спиртов.</w:t>
      </w:r>
    </w:p>
    <w:p w:rsidR="00AA31CD" w:rsidRDefault="00AA31CD" w:rsidP="00AA31CD">
      <w:pPr>
        <w:pStyle w:val="Bodytext20"/>
        <w:numPr>
          <w:ilvl w:val="1"/>
          <w:numId w:val="14"/>
        </w:numPr>
        <w:shd w:val="clear" w:color="auto" w:fill="auto"/>
        <w:tabs>
          <w:tab w:val="left" w:pos="835"/>
        </w:tabs>
        <w:spacing w:before="0"/>
        <w:ind w:firstLine="460"/>
      </w:pPr>
      <w:r>
        <w:t>Средство должно применяться непосредственно из оригинальной упаковки изготовителя. Разбавление средства водой или другими растворителями, а также смешивание с другими средствами не допускается.</w:t>
      </w:r>
    </w:p>
    <w:p w:rsidR="00AA31CD" w:rsidRDefault="00AA31CD" w:rsidP="00AA31CD">
      <w:pPr>
        <w:pStyle w:val="Bodytext20"/>
        <w:numPr>
          <w:ilvl w:val="1"/>
          <w:numId w:val="14"/>
        </w:numPr>
        <w:shd w:val="clear" w:color="auto" w:fill="auto"/>
        <w:tabs>
          <w:tab w:val="left" w:pos="830"/>
        </w:tabs>
        <w:spacing w:before="0" w:after="141"/>
        <w:ind w:firstLine="460"/>
      </w:pPr>
      <w:r>
        <w:t>Не использовать по истечении срока годности.</w:t>
      </w:r>
    </w:p>
    <w:p w:rsidR="00AA31CD" w:rsidRDefault="00AA31CD" w:rsidP="00AA31CD">
      <w:pPr>
        <w:pStyle w:val="Heading30"/>
        <w:keepNext/>
        <w:keepLines/>
        <w:numPr>
          <w:ilvl w:val="0"/>
          <w:numId w:val="14"/>
        </w:numPr>
        <w:shd w:val="clear" w:color="auto" w:fill="auto"/>
        <w:tabs>
          <w:tab w:val="left" w:pos="757"/>
        </w:tabs>
        <w:spacing w:after="39" w:line="200" w:lineRule="exact"/>
        <w:ind w:firstLine="460"/>
      </w:pPr>
      <w:r>
        <w:rPr>
          <w:color w:val="000000"/>
        </w:rPr>
        <w:t>МЕРЫ ПЕРВОЙ ПОМОЩИ ПРИ СЛУЧАЙНОМ ОТРАВЛЕНИИ</w:t>
      </w:r>
    </w:p>
    <w:p w:rsidR="00AA31CD" w:rsidRDefault="00AA31CD" w:rsidP="00AA31CD">
      <w:pPr>
        <w:pStyle w:val="Bodytext20"/>
        <w:numPr>
          <w:ilvl w:val="1"/>
          <w:numId w:val="14"/>
        </w:numPr>
        <w:shd w:val="clear" w:color="auto" w:fill="auto"/>
        <w:tabs>
          <w:tab w:val="left" w:pos="793"/>
        </w:tabs>
        <w:spacing w:before="0"/>
        <w:ind w:firstLine="460"/>
      </w:pPr>
      <w:r>
        <w:t>При случайном попадании средства в глаза их следует обильно промыть проточной водой и закапать 1-2 капли 30% раствор сульфацила натрия.</w:t>
      </w:r>
    </w:p>
    <w:p w:rsidR="00AA31CD" w:rsidRDefault="00AA31CD" w:rsidP="00AA31CD">
      <w:pPr>
        <w:pStyle w:val="Bodytext20"/>
        <w:numPr>
          <w:ilvl w:val="1"/>
          <w:numId w:val="14"/>
        </w:numPr>
        <w:shd w:val="clear" w:color="auto" w:fill="auto"/>
        <w:tabs>
          <w:tab w:val="left" w:pos="802"/>
        </w:tabs>
        <w:spacing w:before="0"/>
        <w:ind w:firstLine="460"/>
      </w:pPr>
      <w:r>
        <w:t>При появлении на коже раздражения, сыпи - прекратить применение средства, руки вымыть водой с мылом.</w:t>
      </w:r>
    </w:p>
    <w:p w:rsidR="00AA31CD" w:rsidRDefault="00AA31CD" w:rsidP="00AA31CD">
      <w:pPr>
        <w:pStyle w:val="Bodytext20"/>
        <w:numPr>
          <w:ilvl w:val="1"/>
          <w:numId w:val="14"/>
        </w:numPr>
        <w:shd w:val="clear" w:color="auto" w:fill="auto"/>
        <w:tabs>
          <w:tab w:val="left" w:pos="835"/>
        </w:tabs>
        <w:spacing w:before="0"/>
        <w:ind w:firstLine="460"/>
      </w:pPr>
      <w:r>
        <w:t>При появлении признаков раздражения органов дыхания следует прекратить работу со средством, пострадавшего немедленно вывести на свежий воздух или в другое помещение, а помещение проветрить. Дать теплое питье. Рот и носоглотку прополоскать водой.</w:t>
      </w:r>
    </w:p>
    <w:p w:rsidR="00AA31CD" w:rsidRDefault="00AA31CD" w:rsidP="00AA31CD">
      <w:pPr>
        <w:pStyle w:val="Bodytext20"/>
        <w:numPr>
          <w:ilvl w:val="1"/>
          <w:numId w:val="14"/>
        </w:numPr>
        <w:shd w:val="clear" w:color="auto" w:fill="auto"/>
        <w:tabs>
          <w:tab w:val="left" w:pos="835"/>
        </w:tabs>
        <w:spacing w:before="0"/>
        <w:ind w:firstLine="460"/>
      </w:pPr>
      <w:r>
        <w:t>При попадании средства в желудок промыть желудок большим количеством воды, вызвать рвоту. Затем принять активированный уголь (10-12 измельченных таблеток).</w:t>
      </w:r>
    </w:p>
    <w:p w:rsidR="00AA31CD" w:rsidRDefault="00AA31CD" w:rsidP="00AA31CD">
      <w:pPr>
        <w:pStyle w:val="Bodytext20"/>
        <w:numPr>
          <w:ilvl w:val="1"/>
          <w:numId w:val="14"/>
        </w:numPr>
        <w:shd w:val="clear" w:color="auto" w:fill="auto"/>
        <w:tabs>
          <w:tab w:val="left" w:pos="835"/>
        </w:tabs>
        <w:spacing w:before="0" w:after="141"/>
        <w:ind w:firstLine="460"/>
      </w:pPr>
      <w:r>
        <w:t>При необходимости обратиться к врачу.</w:t>
      </w:r>
    </w:p>
    <w:p w:rsidR="00AA31CD" w:rsidRDefault="00AA31CD" w:rsidP="00AA31CD">
      <w:pPr>
        <w:pStyle w:val="Heading30"/>
        <w:keepNext/>
        <w:keepLines/>
        <w:numPr>
          <w:ilvl w:val="0"/>
          <w:numId w:val="14"/>
        </w:numPr>
        <w:shd w:val="clear" w:color="auto" w:fill="auto"/>
        <w:tabs>
          <w:tab w:val="left" w:pos="757"/>
        </w:tabs>
        <w:spacing w:after="40" w:line="200" w:lineRule="exact"/>
        <w:ind w:firstLine="460"/>
      </w:pPr>
      <w:bookmarkStart w:id="2" w:name="bookmark2"/>
      <w:r>
        <w:rPr>
          <w:color w:val="000000"/>
        </w:rPr>
        <w:t>УПАКОВКА, УСЛОВИЯ ТРАНСПОРТИРОВАНИЯ И ХРАНЕНИЯ</w:t>
      </w:r>
      <w:bookmarkEnd w:id="2"/>
    </w:p>
    <w:p w:rsidR="00AA31CD" w:rsidRDefault="00AA31CD" w:rsidP="00AA31CD">
      <w:pPr>
        <w:pStyle w:val="Bodytext20"/>
        <w:shd w:val="clear" w:color="auto" w:fill="auto"/>
        <w:spacing w:line="230" w:lineRule="exact"/>
        <w:ind w:firstLine="460"/>
      </w:pPr>
      <w:r>
        <w:t xml:space="preserve">5.1 Средство в виде жидкости расфасовано в: полиэтиленовые флаконы вместимостью от 0,1 л. до 20 л., в том числе с насадками- распылителями и дозирующими устройствами; канистры из полимерных материалов вместимостью 0,5-20 л.; флаконы с евродозаторами вместимостью 0,5 и 1 л. </w:t>
      </w:r>
    </w:p>
    <w:p w:rsidR="00AA31CD" w:rsidRDefault="00AA31CD" w:rsidP="00AA31CD">
      <w:pPr>
        <w:pStyle w:val="Bodytext20"/>
        <w:numPr>
          <w:ilvl w:val="0"/>
          <w:numId w:val="15"/>
        </w:numPr>
        <w:shd w:val="clear" w:color="auto" w:fill="auto"/>
        <w:tabs>
          <w:tab w:val="left" w:pos="812"/>
        </w:tabs>
        <w:spacing w:before="0"/>
        <w:ind w:firstLine="460"/>
      </w:pPr>
      <w:r>
        <w:t>Средство транспортируют всеми видами транспорта в соответствии с правилами перевозки легковоспламеняющихся жидкостей, содержащих изопропиловый спирт, действующими на данном виде транспорта и гарантирующими сохранность средства и тары при температуре от минус 40 °С до плюс 40 °С.</w:t>
      </w:r>
    </w:p>
    <w:p w:rsidR="00AA31CD" w:rsidRDefault="00AA31CD" w:rsidP="00AA31CD">
      <w:pPr>
        <w:pStyle w:val="Bodytext20"/>
        <w:numPr>
          <w:ilvl w:val="0"/>
          <w:numId w:val="15"/>
        </w:numPr>
        <w:shd w:val="clear" w:color="auto" w:fill="auto"/>
        <w:tabs>
          <w:tab w:val="left" w:pos="807"/>
        </w:tabs>
        <w:spacing w:before="0"/>
        <w:ind w:firstLine="460"/>
      </w:pPr>
      <w:r>
        <w:t>Средство хранят в крытых вентилируемых складских помещениях в плотно закрытой упаковке изготовителя в соответствии с правилами хранения легковоспламеняющихся жидкостей при температуре от минус 40 °С до плюс 40 °С, отдельно от лекарственных средств и пищевых продуктов, в местах, недоступных для детей, вдали от нагревательных приборов (не менее 1 м), открытого огня и прямых солнечных лучей.</w:t>
      </w:r>
    </w:p>
    <w:p w:rsidR="00AA31CD" w:rsidRDefault="00AA31CD" w:rsidP="00AA31CD">
      <w:pPr>
        <w:pStyle w:val="Bodytext20"/>
        <w:numPr>
          <w:ilvl w:val="0"/>
          <w:numId w:val="15"/>
        </w:numPr>
        <w:shd w:val="clear" w:color="auto" w:fill="auto"/>
        <w:tabs>
          <w:tab w:val="left" w:pos="802"/>
        </w:tabs>
        <w:spacing w:before="0"/>
        <w:ind w:firstLine="460"/>
      </w:pPr>
      <w:r>
        <w:t>В аварийной ситуации: при случайной утечке большого количества средств, а также при нарушении целостности упаковки, засыпать его песком или землей (не использовать горючие материалы, например, опилки, стружку) собрать в емкость с крышкой и отправить на утилизацию. Остаток жидкого или гелеобразного средства смыть большим количеством воды.</w:t>
      </w:r>
    </w:p>
    <w:p w:rsidR="00AA31CD" w:rsidRDefault="00AA31CD" w:rsidP="00AA31CD">
      <w:pPr>
        <w:pStyle w:val="Bodytext20"/>
        <w:shd w:val="clear" w:color="auto" w:fill="auto"/>
        <w:ind w:firstLine="460"/>
      </w:pPr>
      <w:r>
        <w:lastRenderedPageBreak/>
        <w:t>При уборке продукта следует использовать индивидуальную защитную одежду, сапоги, перчатки резиновые или из полиэтилена; для защиты органов дыхания — универсальные респираторы типа РПГ-67 или РУ-60м с патроном марки А или промышленный противогаз.</w:t>
      </w:r>
    </w:p>
    <w:p w:rsidR="00AA31CD" w:rsidRDefault="00AA31CD" w:rsidP="00AA31CD">
      <w:pPr>
        <w:pStyle w:val="Bodytext20"/>
        <w:numPr>
          <w:ilvl w:val="0"/>
          <w:numId w:val="15"/>
        </w:numPr>
        <w:shd w:val="clear" w:color="auto" w:fill="auto"/>
        <w:tabs>
          <w:tab w:val="left" w:pos="802"/>
        </w:tabs>
        <w:spacing w:before="0"/>
        <w:ind w:firstLine="460"/>
      </w:pPr>
      <w:r>
        <w:t>Меры защиты окружающей среды: не допускать попадания средства в сточные/поверхностные или подземные воды и в канализацию.</w:t>
      </w:r>
    </w:p>
    <w:p w:rsidR="00AA31CD" w:rsidRDefault="00AA31CD" w:rsidP="00AA31CD">
      <w:pPr>
        <w:pStyle w:val="Bodytext20"/>
        <w:numPr>
          <w:ilvl w:val="0"/>
          <w:numId w:val="15"/>
        </w:numPr>
        <w:shd w:val="clear" w:color="auto" w:fill="auto"/>
        <w:tabs>
          <w:tab w:val="left" w:pos="812"/>
        </w:tabs>
        <w:spacing w:before="0"/>
        <w:ind w:firstLine="460"/>
      </w:pPr>
      <w:r>
        <w:t>Срок годности средства в виде жидкости— 6 лет в невскрытой упаковке производителя.</w:t>
      </w:r>
    </w:p>
    <w:p w:rsidR="00AA31CD" w:rsidRDefault="00AA31CD" w:rsidP="00AA31CD">
      <w:pPr>
        <w:pStyle w:val="Heading30"/>
        <w:keepNext/>
        <w:keepLines/>
        <w:numPr>
          <w:ilvl w:val="0"/>
          <w:numId w:val="14"/>
        </w:numPr>
        <w:shd w:val="clear" w:color="auto" w:fill="auto"/>
        <w:tabs>
          <w:tab w:val="left" w:pos="725"/>
        </w:tabs>
        <w:spacing w:after="44" w:line="200" w:lineRule="exact"/>
        <w:ind w:left="460"/>
      </w:pPr>
      <w:bookmarkStart w:id="3" w:name="bookmark3"/>
      <w:r>
        <w:rPr>
          <w:color w:val="000000"/>
        </w:rPr>
        <w:t>МЕТОДЫ КОНТРОЛЯ КАЧЕСТВА</w:t>
      </w:r>
      <w:bookmarkEnd w:id="3"/>
    </w:p>
    <w:p w:rsidR="00AA31CD" w:rsidRDefault="00AA31CD" w:rsidP="00AA31CD">
      <w:pPr>
        <w:pStyle w:val="Bodytext20"/>
        <w:shd w:val="clear" w:color="auto" w:fill="auto"/>
        <w:ind w:firstLine="460"/>
        <w:jc w:val="left"/>
      </w:pPr>
      <w:r>
        <w:t>6.1 По показателям качества средство дезинфицирующее «Антисептик» должно соответствовать требованиям ГОСТ 31695-2012 и нормам, указанным в таблице 4.</w:t>
      </w:r>
    </w:p>
    <w:p w:rsidR="00AA31CD" w:rsidRDefault="00AA31CD" w:rsidP="00AA31CD">
      <w:pPr>
        <w:pStyle w:val="Tablecaption0"/>
        <w:framePr w:w="7200" w:wrap="notBeside" w:vAnchor="text" w:hAnchor="text" w:xAlign="center" w:y="1"/>
        <w:shd w:val="clear" w:color="auto" w:fill="auto"/>
      </w:pPr>
      <w:r>
        <w:rPr>
          <w:rStyle w:val="TablecaptionNotBold"/>
          <w:b w:val="0"/>
          <w:bCs w:val="0"/>
        </w:rPr>
        <w:t xml:space="preserve">Таблица 4 — </w:t>
      </w:r>
      <w:r>
        <w:rPr>
          <w:color w:val="000000"/>
        </w:rPr>
        <w:t>Показатели качества дезинфицирующего средства «Антисептик» в виде жидкости.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2592"/>
        <w:gridCol w:w="2088"/>
        <w:gridCol w:w="1997"/>
      </w:tblGrid>
      <w:tr w:rsidR="00AA31CD" w:rsidTr="00AA31CD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after="60" w:line="200" w:lineRule="exact"/>
              <w:ind w:left="240"/>
              <w:jc w:val="left"/>
            </w:pPr>
            <w:r>
              <w:t>№</w:t>
            </w:r>
          </w:p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before="60" w:line="200" w:lineRule="exact"/>
              <w:ind w:left="160"/>
              <w:jc w:val="left"/>
            </w:pPr>
            <w:r>
              <w:t>п/п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Наименование показателя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Норма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t>Метод испытаний</w:t>
            </w:r>
          </w:p>
        </w:tc>
      </w:tr>
      <w:tr w:rsidR="00AA31CD" w:rsidTr="00A4583F">
        <w:tblPrEx>
          <w:tblCellMar>
            <w:top w:w="0" w:type="dxa"/>
            <w:bottom w:w="0" w:type="dxa"/>
          </w:tblCellMar>
        </w:tblPrEx>
        <w:trPr>
          <w:trHeight w:hRule="exact" w:val="105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Внешний вид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1CD" w:rsidRPr="0047300E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47300E">
              <w:rPr>
                <w:color w:val="2D2D2D"/>
                <w:spacing w:val="1"/>
                <w:sz w:val="20"/>
                <w:szCs w:val="20"/>
                <w:shd w:val="clear" w:color="auto" w:fill="FFFFFF"/>
              </w:rPr>
              <w:t>Однородная гелеобразная масса без посторонних включений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1CD" w:rsidRPr="0047300E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color w:val="auto"/>
                <w:sz w:val="20"/>
                <w:szCs w:val="20"/>
              </w:rPr>
            </w:pPr>
            <w:hyperlink r:id="rId7" w:history="1">
              <w:r w:rsidRPr="0047300E">
                <w:rPr>
                  <w:rStyle w:val="a3"/>
                  <w:color w:val="auto"/>
                  <w:spacing w:val="1"/>
                  <w:sz w:val="20"/>
                  <w:szCs w:val="20"/>
                  <w:shd w:val="clear" w:color="auto" w:fill="FFFFFF"/>
                </w:rPr>
                <w:t>ГОСТ 29188.0-91</w:t>
              </w:r>
            </w:hyperlink>
            <w:r w:rsidRPr="0047300E"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  <w:t> (раздел 3</w:t>
            </w:r>
            <w:r>
              <w:rPr>
                <w:color w:val="auto"/>
                <w:spacing w:val="1"/>
                <w:shd w:val="clear" w:color="auto" w:fill="FFFFFF"/>
              </w:rPr>
              <w:t>)</w:t>
            </w:r>
          </w:p>
        </w:tc>
      </w:tr>
      <w:tr w:rsidR="00AA31CD" w:rsidTr="00AA31CD">
        <w:tblPrEx>
          <w:tblCellMar>
            <w:top w:w="0" w:type="dxa"/>
            <w:bottom w:w="0" w:type="dxa"/>
          </w:tblCellMar>
        </w:tblPrEx>
        <w:trPr>
          <w:trHeight w:hRule="exact" w:val="114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Запах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t>Характерный запах спирта и применяемой отдушки или без отдушки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hyperlink r:id="rId8" w:history="1">
              <w:r w:rsidRPr="0047300E">
                <w:rPr>
                  <w:rStyle w:val="a3"/>
                  <w:color w:val="auto"/>
                  <w:spacing w:val="1"/>
                  <w:sz w:val="20"/>
                  <w:szCs w:val="20"/>
                  <w:shd w:val="clear" w:color="auto" w:fill="FFFFFF"/>
                </w:rPr>
                <w:t>ГОСТ 29188.0-91</w:t>
              </w:r>
            </w:hyperlink>
            <w:r w:rsidRPr="0047300E"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  <w:t> (раздел 3</w:t>
            </w:r>
            <w:r>
              <w:rPr>
                <w:color w:val="auto"/>
                <w:spacing w:val="1"/>
                <w:shd w:val="clear" w:color="auto" w:fill="FFFFFF"/>
              </w:rPr>
              <w:t>)</w:t>
            </w:r>
          </w:p>
        </w:tc>
      </w:tr>
      <w:tr w:rsidR="00AA31CD" w:rsidTr="00AA31C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t>Массовая доля изопропилового спирта, 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65,0 ± 3,0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hyperlink r:id="rId9" w:history="1">
              <w:r w:rsidRPr="0047300E">
                <w:rPr>
                  <w:rStyle w:val="a3"/>
                  <w:color w:val="auto"/>
                  <w:spacing w:val="1"/>
                  <w:sz w:val="20"/>
                  <w:szCs w:val="20"/>
                  <w:shd w:val="clear" w:color="auto" w:fill="FFFFFF"/>
                </w:rPr>
                <w:t>ГОСТ 29188.0-91</w:t>
              </w:r>
            </w:hyperlink>
            <w:r w:rsidRPr="0047300E"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  <w:t> (раздел 3</w:t>
            </w:r>
            <w:r>
              <w:rPr>
                <w:color w:val="auto"/>
                <w:spacing w:val="1"/>
                <w:shd w:val="clear" w:color="auto" w:fill="FFFFFF"/>
              </w:rPr>
              <w:t>)</w:t>
            </w:r>
          </w:p>
        </w:tc>
      </w:tr>
      <w:tr w:rsidR="00AA31CD" w:rsidTr="00AA31CD">
        <w:tblPrEx>
          <w:tblCellMar>
            <w:top w:w="0" w:type="dxa"/>
            <w:bottom w:w="0" w:type="dxa"/>
          </w:tblCellMar>
        </w:tblPrEx>
        <w:trPr>
          <w:trHeight w:hRule="exact" w:val="73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t xml:space="preserve">Массовая доля перекиси водорода, </w:t>
            </w:r>
            <w:r>
              <w:rPr>
                <w:rStyle w:val="Bodytext2Italic"/>
              </w:rPr>
              <w:t>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0,1 ± 0,03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color w:val="auto"/>
                <w:spacing w:val="1"/>
                <w:shd w:val="clear" w:color="auto" w:fill="FFFFFF"/>
              </w:rPr>
            </w:pPr>
            <w:hyperlink r:id="rId10" w:history="1">
              <w:r w:rsidRPr="0047300E">
                <w:rPr>
                  <w:rStyle w:val="a3"/>
                  <w:color w:val="auto"/>
                  <w:spacing w:val="1"/>
                  <w:sz w:val="20"/>
                  <w:szCs w:val="20"/>
                  <w:shd w:val="clear" w:color="auto" w:fill="FFFFFF"/>
                </w:rPr>
                <w:t>ГОСТ 29188.0-91</w:t>
              </w:r>
            </w:hyperlink>
            <w:r w:rsidRPr="0047300E"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  <w:t> (раздел 3</w:t>
            </w:r>
            <w:r>
              <w:rPr>
                <w:color w:val="auto"/>
                <w:spacing w:val="1"/>
                <w:shd w:val="clear" w:color="auto" w:fill="FFFFFF"/>
              </w:rPr>
              <w:t>)</w:t>
            </w:r>
          </w:p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color w:val="auto"/>
                <w:spacing w:val="1"/>
                <w:shd w:val="clear" w:color="auto" w:fill="FFFFFF"/>
              </w:rPr>
            </w:pPr>
          </w:p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30" w:lineRule="exact"/>
              <w:jc w:val="left"/>
            </w:pPr>
          </w:p>
        </w:tc>
      </w:tr>
      <w:tr w:rsidR="00AA31CD" w:rsidTr="00AA31CD">
        <w:tblPrEx>
          <w:tblCellMar>
            <w:top w:w="0" w:type="dxa"/>
            <w:bottom w:w="0" w:type="dxa"/>
          </w:tblCellMar>
        </w:tblPrEx>
        <w:trPr>
          <w:trHeight w:hRule="exact" w:val="6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t>Массовая доля глицерина, 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0,2 ± 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1CD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color w:val="auto"/>
                <w:spacing w:val="1"/>
                <w:shd w:val="clear" w:color="auto" w:fill="FFFFFF"/>
              </w:rPr>
            </w:pPr>
            <w:hyperlink r:id="rId11" w:history="1">
              <w:r w:rsidRPr="0047300E">
                <w:rPr>
                  <w:rStyle w:val="a3"/>
                  <w:color w:val="auto"/>
                  <w:spacing w:val="1"/>
                  <w:sz w:val="20"/>
                  <w:szCs w:val="20"/>
                  <w:shd w:val="clear" w:color="auto" w:fill="FFFFFF"/>
                </w:rPr>
                <w:t>ГОСТ 29188.0-91</w:t>
              </w:r>
            </w:hyperlink>
            <w:r w:rsidRPr="0047300E"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  <w:t> (раздел 3</w:t>
            </w:r>
            <w:r>
              <w:rPr>
                <w:color w:val="auto"/>
                <w:spacing w:val="1"/>
                <w:shd w:val="clear" w:color="auto" w:fill="FFFFFF"/>
              </w:rPr>
              <w:t>)</w:t>
            </w:r>
          </w:p>
          <w:p w:rsidR="00AA31CD" w:rsidRPr="0047300E" w:rsidRDefault="00AA31CD" w:rsidP="00A4583F">
            <w:pPr>
              <w:pStyle w:val="Bodytext20"/>
              <w:framePr w:w="720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color w:val="auto"/>
              </w:rPr>
            </w:pPr>
          </w:p>
        </w:tc>
      </w:tr>
    </w:tbl>
    <w:p w:rsidR="00AA31CD" w:rsidRDefault="00AA31CD" w:rsidP="00AA31CD">
      <w:pPr>
        <w:framePr w:w="7200" w:wrap="notBeside" w:vAnchor="text" w:hAnchor="text" w:xAlign="center" w:y="1"/>
        <w:rPr>
          <w:sz w:val="2"/>
          <w:szCs w:val="2"/>
        </w:rPr>
      </w:pPr>
    </w:p>
    <w:p w:rsidR="00AA31CD" w:rsidRDefault="00AA31CD" w:rsidP="00AA31CD">
      <w:pPr>
        <w:rPr>
          <w:sz w:val="2"/>
          <w:szCs w:val="2"/>
        </w:rPr>
      </w:pPr>
    </w:p>
    <w:p w:rsidR="00AA31CD" w:rsidRDefault="00AA31CD" w:rsidP="00AA31CD">
      <w:pPr>
        <w:pStyle w:val="Bodytext20"/>
        <w:shd w:val="clear" w:color="auto" w:fill="auto"/>
        <w:spacing w:line="230" w:lineRule="exact"/>
        <w:jc w:val="left"/>
        <w:rPr>
          <w:color w:val="auto"/>
          <w:spacing w:val="1"/>
          <w:shd w:val="clear" w:color="auto" w:fill="FFFFFF"/>
        </w:rPr>
      </w:pPr>
    </w:p>
    <w:p w:rsidR="0002308C" w:rsidRDefault="0002308C" w:rsidP="0002308C">
      <w:pPr>
        <w:pStyle w:val="Bodytext20"/>
        <w:shd w:val="clear" w:color="auto" w:fill="auto"/>
        <w:tabs>
          <w:tab w:val="left" w:pos="981"/>
        </w:tabs>
        <w:spacing w:before="0"/>
      </w:pPr>
    </w:p>
    <w:sectPr w:rsidR="0002308C" w:rsidSect="00C77139">
      <w:footerReference w:type="default" r:id="rId12"/>
      <w:pgSz w:w="8400" w:h="11900"/>
      <w:pgMar w:top="952" w:right="561" w:bottom="1020" w:left="677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5F7" w:rsidRDefault="002B05F7" w:rsidP="00C77139">
      <w:r>
        <w:separator/>
      </w:r>
    </w:p>
  </w:endnote>
  <w:endnote w:type="continuationSeparator" w:id="1">
    <w:p w:rsidR="002B05F7" w:rsidRDefault="002B05F7" w:rsidP="00C77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39" w:rsidRDefault="00C77139">
    <w:pPr>
      <w:rPr>
        <w:sz w:val="2"/>
        <w:szCs w:val="2"/>
      </w:rPr>
    </w:pPr>
    <w:r w:rsidRPr="00C771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9.05pt;margin-top:552.1pt;width:8.4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7139" w:rsidRDefault="00C77139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AA31CD" w:rsidRPr="00AA31CD">
                    <w:rPr>
                      <w:rStyle w:val="Headerorfooter1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5F7" w:rsidRDefault="002B05F7"/>
  </w:footnote>
  <w:footnote w:type="continuationSeparator" w:id="1">
    <w:p w:rsidR="002B05F7" w:rsidRDefault="002B05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A76"/>
    <w:multiLevelType w:val="multilevel"/>
    <w:tmpl w:val="1AA46AEC"/>
    <w:lvl w:ilvl="0">
      <w:start w:val="1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E474E"/>
    <w:multiLevelType w:val="multilevel"/>
    <w:tmpl w:val="919817DE"/>
    <w:lvl w:ilvl="0">
      <w:start w:val="7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A5FA5"/>
    <w:multiLevelType w:val="multilevel"/>
    <w:tmpl w:val="067616EE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06B6C5E"/>
    <w:multiLevelType w:val="multilevel"/>
    <w:tmpl w:val="6616F12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68910E5"/>
    <w:multiLevelType w:val="multilevel"/>
    <w:tmpl w:val="C52CAB0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620" w:hanging="390"/>
      </w:pPr>
      <w:rPr>
        <w:rFonts w:hint="default"/>
        <w:i/>
      </w:rPr>
    </w:lvl>
    <w:lvl w:ilvl="2">
      <w:start w:val="9"/>
      <w:numFmt w:val="decimal"/>
      <w:lvlText w:val="%1.%2.%3"/>
      <w:lvlJc w:val="left"/>
      <w:pPr>
        <w:ind w:left="11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64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46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80" w:hanging="1440"/>
      </w:pPr>
      <w:rPr>
        <w:rFonts w:hint="default"/>
        <w:i/>
      </w:rPr>
    </w:lvl>
  </w:abstractNum>
  <w:abstractNum w:abstractNumId="5">
    <w:nsid w:val="27662497"/>
    <w:multiLevelType w:val="multilevel"/>
    <w:tmpl w:val="ECB0C7BC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001DDA"/>
    <w:multiLevelType w:val="multilevel"/>
    <w:tmpl w:val="D6200CE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2A78E4"/>
    <w:multiLevelType w:val="multilevel"/>
    <w:tmpl w:val="7922A76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891B89"/>
    <w:multiLevelType w:val="multilevel"/>
    <w:tmpl w:val="0D1A1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B8274E"/>
    <w:multiLevelType w:val="multilevel"/>
    <w:tmpl w:val="20CA63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1303A5"/>
    <w:multiLevelType w:val="multilevel"/>
    <w:tmpl w:val="E210FDC4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4412BB"/>
    <w:multiLevelType w:val="multilevel"/>
    <w:tmpl w:val="9CFAA8F4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5E225E"/>
    <w:multiLevelType w:val="multilevel"/>
    <w:tmpl w:val="52F4D592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6881163"/>
    <w:multiLevelType w:val="multilevel"/>
    <w:tmpl w:val="6DA0F384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09775C"/>
    <w:multiLevelType w:val="multilevel"/>
    <w:tmpl w:val="B6124CB6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77139"/>
    <w:rsid w:val="0002308C"/>
    <w:rsid w:val="001A5383"/>
    <w:rsid w:val="002B05F7"/>
    <w:rsid w:val="00582644"/>
    <w:rsid w:val="00AA31CD"/>
    <w:rsid w:val="00C77139"/>
    <w:rsid w:val="00D51A00"/>
    <w:rsid w:val="00F2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71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7139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C77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a0"/>
    <w:link w:val="Headerorfooter0"/>
    <w:rsid w:val="00C77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C771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C771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a0"/>
    <w:link w:val="Bodytext40"/>
    <w:rsid w:val="00C77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sid w:val="00C77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">
    <w:name w:val="Body text (2) + Italic"/>
    <w:basedOn w:val="Bodytext2"/>
    <w:rsid w:val="00C7713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C771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5NotItalic">
    <w:name w:val="Body text (5) + Not Italic"/>
    <w:basedOn w:val="Bodytext5"/>
    <w:rsid w:val="00C7713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1">
    <w:name w:val="Body text (2)"/>
    <w:basedOn w:val="Bodytext2"/>
    <w:rsid w:val="00C7713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Heading10">
    <w:name w:val="Heading #1"/>
    <w:basedOn w:val="a"/>
    <w:link w:val="Heading1"/>
    <w:rsid w:val="00C77139"/>
    <w:pPr>
      <w:shd w:val="clear" w:color="auto" w:fill="FFFFFF"/>
      <w:spacing w:line="206" w:lineRule="exac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a"/>
    <w:link w:val="Headerorfooter"/>
    <w:rsid w:val="00C771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rsid w:val="00C77139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40">
    <w:name w:val="Body text (4)"/>
    <w:basedOn w:val="a"/>
    <w:link w:val="Bodytext4"/>
    <w:rsid w:val="00C77139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a"/>
    <w:link w:val="Bodytext2"/>
    <w:rsid w:val="00C77139"/>
    <w:pPr>
      <w:shd w:val="clear" w:color="auto" w:fill="FFFFFF"/>
      <w:spacing w:before="12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a"/>
    <w:link w:val="Bodytext5"/>
    <w:rsid w:val="00C77139"/>
    <w:pPr>
      <w:shd w:val="clear" w:color="auto" w:fill="FFFFFF"/>
      <w:spacing w:line="226" w:lineRule="exact"/>
      <w:ind w:firstLine="46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Tablecaption2">
    <w:name w:val="Table caption (2)_"/>
    <w:basedOn w:val="a0"/>
    <w:link w:val="Tablecaption20"/>
    <w:rsid w:val="0002308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2308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blecaptionNotBold">
    <w:name w:val="Table caption + Not Bold"/>
    <w:basedOn w:val="Tablecaption"/>
    <w:rsid w:val="0002308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Tablecaption20">
    <w:name w:val="Table caption (2)"/>
    <w:basedOn w:val="a"/>
    <w:link w:val="Tablecaption2"/>
    <w:rsid w:val="0002308C"/>
    <w:pPr>
      <w:shd w:val="clear" w:color="auto" w:fill="FFFFFF"/>
      <w:spacing w:line="230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ablecaption0">
    <w:name w:val="Table caption"/>
    <w:basedOn w:val="a"/>
    <w:link w:val="Tablecaption"/>
    <w:rsid w:val="0002308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02308C"/>
    <w:pPr>
      <w:ind w:left="720"/>
      <w:contextualSpacing/>
    </w:pPr>
  </w:style>
  <w:style w:type="character" w:customStyle="1" w:styleId="Heading3">
    <w:name w:val="Heading #3_"/>
    <w:basedOn w:val="a0"/>
    <w:link w:val="Heading30"/>
    <w:rsid w:val="00AA31C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30">
    <w:name w:val="Heading #3"/>
    <w:basedOn w:val="a"/>
    <w:link w:val="Heading3"/>
    <w:rsid w:val="00AA31CD"/>
    <w:pPr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23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2235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02235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12000223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223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2020-04-21T07:09:00Z</dcterms:created>
  <dcterms:modified xsi:type="dcterms:W3CDTF">2020-04-21T08:27:00Z</dcterms:modified>
</cp:coreProperties>
</file>